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F06B" w14:textId="77777777" w:rsidR="00750429" w:rsidRDefault="00750429" w:rsidP="00750429">
      <w:pPr>
        <w:bidi/>
        <w:spacing w:after="0"/>
        <w:rPr>
          <w:rFonts w:asciiTheme="minorBidi" w:hAnsiTheme="minorBidi"/>
          <w:b/>
          <w:bCs/>
          <w:sz w:val="28"/>
          <w:szCs w:val="28"/>
          <w:rtl/>
        </w:rPr>
      </w:pPr>
      <w:r w:rsidRPr="00750429">
        <w:rPr>
          <w:rFonts w:asciiTheme="minorBidi" w:hAnsiTheme="minorBidi"/>
          <w:b/>
          <w:bCs/>
          <w:sz w:val="28"/>
          <w:szCs w:val="28"/>
          <w:rtl/>
        </w:rPr>
        <w:t>تدبير فرط فوسفات الدم لدى البالغين المصابين بمرض الكلى المزمن</w:t>
      </w:r>
    </w:p>
    <w:p w14:paraId="62C90862" w14:textId="77777777" w:rsidR="00750429" w:rsidRDefault="00750429" w:rsidP="00750429">
      <w:pPr>
        <w:bidi/>
        <w:spacing w:after="0"/>
        <w:rPr>
          <w:rFonts w:asciiTheme="minorBidi" w:hAnsiTheme="minorBidi"/>
          <w:b/>
          <w:bCs/>
          <w:sz w:val="28"/>
          <w:szCs w:val="28"/>
          <w:rtl/>
        </w:rPr>
      </w:pPr>
    </w:p>
    <w:p w14:paraId="094051B4" w14:textId="61750EE3" w:rsidR="00750429" w:rsidRPr="00750429" w:rsidRDefault="00750429" w:rsidP="00750429">
      <w:pPr>
        <w:bidi/>
        <w:spacing w:after="0"/>
        <w:rPr>
          <w:rFonts w:asciiTheme="minorBidi" w:hAnsiTheme="minorBidi"/>
          <w:b/>
          <w:bCs/>
          <w:sz w:val="28"/>
          <w:szCs w:val="28"/>
        </w:rPr>
      </w:pPr>
      <w:r w:rsidRPr="00750429">
        <w:rPr>
          <w:rFonts w:asciiTheme="minorBidi" w:hAnsiTheme="minorBidi"/>
          <w:b/>
          <w:bCs/>
          <w:sz w:val="28"/>
          <w:szCs w:val="28"/>
          <w:rtl/>
        </w:rPr>
        <w:t>المقدمة</w:t>
      </w:r>
    </w:p>
    <w:p w14:paraId="038B1A05" w14:textId="77777777" w:rsidR="00750429" w:rsidRDefault="00750429" w:rsidP="00750429">
      <w:pPr>
        <w:bidi/>
        <w:spacing w:after="0"/>
        <w:rPr>
          <w:rFonts w:asciiTheme="minorBidi" w:hAnsiTheme="minorBidi"/>
          <w:sz w:val="28"/>
          <w:szCs w:val="28"/>
          <w:rtl/>
        </w:rPr>
      </w:pPr>
      <w:r w:rsidRPr="00750429">
        <w:rPr>
          <w:rFonts w:asciiTheme="minorBidi" w:hAnsiTheme="minorBidi"/>
          <w:sz w:val="28"/>
          <w:szCs w:val="28"/>
          <w:rtl/>
        </w:rPr>
        <w:t>يبدأ الميل نحو احتباس الفوسفات في مرحلة مبكرة من مرض الكلى المزمن</w:t>
      </w:r>
      <w:r w:rsidRPr="00750429">
        <w:rPr>
          <w:rFonts w:asciiTheme="minorBidi" w:hAnsiTheme="minorBidi"/>
          <w:sz w:val="28"/>
          <w:szCs w:val="28"/>
        </w:rPr>
        <w:t xml:space="preserve"> (CKD)</w:t>
      </w:r>
      <w:r w:rsidRPr="00750429">
        <w:rPr>
          <w:rFonts w:asciiTheme="minorBidi" w:hAnsiTheme="minorBidi"/>
          <w:sz w:val="28"/>
          <w:szCs w:val="28"/>
          <w:rtl/>
        </w:rPr>
        <w:t>، عندما يؤدي انخفاض الحمل المُرشَّح من الفوسفات إلى ضعف إطراحه عن طريق الكلى. وتمنع الاستجابات التكيفية التي تقلل إعادة امتصاص الفوسفات في النبيبات القريبة تطور فرط فوسفات الدم الواضح إلى أن يصل مرض الكلى المزمن إلى مراحل متقدمة. وقد يتطور فرط فوسفات الدم عندما ينخفض معدل الرشح الكبيبي المقدر</w:t>
      </w:r>
      <w:r w:rsidRPr="00750429">
        <w:rPr>
          <w:rFonts w:asciiTheme="minorBidi" w:hAnsiTheme="minorBidi"/>
          <w:sz w:val="28"/>
          <w:szCs w:val="28"/>
        </w:rPr>
        <w:t xml:space="preserve"> (eGFR) </w:t>
      </w:r>
      <w:r w:rsidRPr="00750429">
        <w:rPr>
          <w:rFonts w:asciiTheme="minorBidi" w:hAnsiTheme="minorBidi"/>
          <w:sz w:val="28"/>
          <w:szCs w:val="28"/>
          <w:rtl/>
        </w:rPr>
        <w:t>إلى أقل من 25–40 مل/دقيقة/1.73 م²</w:t>
      </w:r>
      <w:r w:rsidRPr="00750429">
        <w:rPr>
          <w:rFonts w:asciiTheme="minorBidi" w:hAnsiTheme="minorBidi"/>
          <w:sz w:val="28"/>
          <w:szCs w:val="28"/>
        </w:rPr>
        <w:t xml:space="preserve"> [1–3].</w:t>
      </w:r>
    </w:p>
    <w:p w14:paraId="60B3CD0E" w14:textId="77777777" w:rsidR="00660430" w:rsidRPr="00750429" w:rsidRDefault="00660430" w:rsidP="00660430">
      <w:pPr>
        <w:bidi/>
        <w:spacing w:after="0"/>
        <w:rPr>
          <w:rFonts w:asciiTheme="minorBidi" w:hAnsiTheme="minorBidi"/>
          <w:sz w:val="28"/>
          <w:szCs w:val="28"/>
        </w:rPr>
      </w:pPr>
    </w:p>
    <w:p w14:paraId="46B5ED45" w14:textId="77777777" w:rsidR="00660430" w:rsidRDefault="00660430" w:rsidP="00750429">
      <w:pPr>
        <w:bidi/>
        <w:spacing w:after="0"/>
        <w:rPr>
          <w:rFonts w:asciiTheme="minorBidi" w:hAnsiTheme="minorBidi"/>
          <w:sz w:val="28"/>
          <w:szCs w:val="28"/>
          <w:rtl/>
        </w:rPr>
      </w:pPr>
    </w:p>
    <w:p w14:paraId="57EC6F3C" w14:textId="6CCE7045" w:rsidR="00750429" w:rsidRPr="00750429" w:rsidRDefault="00750429" w:rsidP="00660430">
      <w:pPr>
        <w:bidi/>
        <w:spacing w:after="0"/>
        <w:rPr>
          <w:rFonts w:asciiTheme="minorBidi" w:hAnsiTheme="minorBidi"/>
          <w:b/>
          <w:bCs/>
          <w:sz w:val="28"/>
          <w:szCs w:val="28"/>
        </w:rPr>
      </w:pPr>
      <w:r w:rsidRPr="00750429">
        <w:rPr>
          <w:rFonts w:asciiTheme="minorBidi" w:hAnsiTheme="minorBidi"/>
          <w:b/>
          <w:bCs/>
          <w:sz w:val="28"/>
          <w:szCs w:val="28"/>
          <w:rtl/>
        </w:rPr>
        <w:t>مبررات العلاج</w:t>
      </w:r>
    </w:p>
    <w:p w14:paraId="24742877" w14:textId="77777777" w:rsidR="00750429" w:rsidRDefault="00750429" w:rsidP="00750429">
      <w:pPr>
        <w:bidi/>
        <w:spacing w:after="0"/>
        <w:rPr>
          <w:rFonts w:asciiTheme="minorBidi" w:hAnsiTheme="minorBidi"/>
          <w:sz w:val="28"/>
          <w:szCs w:val="28"/>
          <w:rtl/>
        </w:rPr>
      </w:pPr>
      <w:r w:rsidRPr="00750429">
        <w:rPr>
          <w:rFonts w:asciiTheme="minorBidi" w:hAnsiTheme="minorBidi"/>
          <w:sz w:val="28"/>
          <w:szCs w:val="28"/>
          <w:rtl/>
        </w:rPr>
        <w:t>تعتمد مبررات علاج فرط فوسفات الدم إلى حد كبير على دراسات رصدية أظهرت ارتباط ارتفاع الفوسفور في المصل بزيادة المراضة والوفيات القلبية الوعائية [4–10]. وفيما يلي بعض هذه البيانات المتعلقة بمرضى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 ومرضى</w:t>
      </w:r>
      <w:r w:rsidRPr="00750429">
        <w:rPr>
          <w:rFonts w:asciiTheme="minorBidi" w:hAnsiTheme="minorBidi"/>
          <w:sz w:val="28"/>
          <w:szCs w:val="28"/>
        </w:rPr>
        <w:t xml:space="preserve"> CKD </w:t>
      </w:r>
      <w:r w:rsidRPr="00750429">
        <w:rPr>
          <w:rFonts w:asciiTheme="minorBidi" w:hAnsiTheme="minorBidi"/>
          <w:sz w:val="28"/>
          <w:szCs w:val="28"/>
          <w:rtl/>
        </w:rPr>
        <w:t>الخاضعين للغسيل</w:t>
      </w:r>
      <w:r w:rsidRPr="00750429">
        <w:rPr>
          <w:rFonts w:asciiTheme="minorBidi" w:hAnsiTheme="minorBidi"/>
          <w:sz w:val="28"/>
          <w:szCs w:val="28"/>
        </w:rPr>
        <w:t>:</w:t>
      </w:r>
    </w:p>
    <w:p w14:paraId="0A27AAFE" w14:textId="77777777" w:rsidR="00660430" w:rsidRPr="00750429" w:rsidRDefault="00660430" w:rsidP="00660430">
      <w:pPr>
        <w:bidi/>
        <w:spacing w:after="0"/>
        <w:rPr>
          <w:rFonts w:asciiTheme="minorBidi" w:hAnsiTheme="minorBidi"/>
          <w:sz w:val="28"/>
          <w:szCs w:val="28"/>
        </w:rPr>
      </w:pPr>
    </w:p>
    <w:p w14:paraId="174124A4" w14:textId="2ED7919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Pr>
        <w:t xml:space="preserve">● </w:t>
      </w:r>
      <w:r w:rsidRPr="00750429">
        <w:rPr>
          <w:rFonts w:asciiTheme="minorBidi" w:hAnsiTheme="minorBidi"/>
          <w:b/>
          <w:bCs/>
          <w:sz w:val="28"/>
          <w:szCs w:val="28"/>
          <w:rtl/>
        </w:rPr>
        <w:t>مرض الكلى المزمن غير الخاضع للغسيل</w:t>
      </w:r>
      <w:r w:rsidRPr="00750429">
        <w:rPr>
          <w:rFonts w:asciiTheme="minorBidi" w:hAnsiTheme="minorBidi"/>
          <w:sz w:val="28"/>
          <w:szCs w:val="28"/>
          <w:rtl/>
        </w:rPr>
        <w:t xml:space="preserve"> </w:t>
      </w:r>
      <w:r w:rsidRPr="00750429">
        <w:rPr>
          <w:rFonts w:asciiTheme="minorBidi" w:hAnsiTheme="minorBidi"/>
          <w:sz w:val="28"/>
          <w:szCs w:val="28"/>
        </w:rPr>
        <w:t xml:space="preserve">— </w:t>
      </w:r>
      <w:r w:rsidRPr="00750429">
        <w:rPr>
          <w:rFonts w:asciiTheme="minorBidi" w:hAnsiTheme="minorBidi"/>
          <w:sz w:val="28"/>
          <w:szCs w:val="28"/>
          <w:rtl/>
        </w:rPr>
        <w:t>أفادت غالبية الدراسات بوجود زيادة في الوفيات مرتبطة بفرط فوسفات الدم لدى 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 [10–15]. وقد اتضح ذلك بصورة أفضل في تحليل لثلاث دراسات شملت نحو 5000 مريض مصاب بمرض الكلى المزمن غير الخاضع للغسيل، حيث أظهر زيادة بنسبة 35% في الوفيات مقابل كل زيادة مقدارها 1</w:t>
      </w:r>
      <w:r w:rsidRPr="00750429">
        <w:rPr>
          <w:rFonts w:asciiTheme="minorBidi" w:hAnsiTheme="minorBidi"/>
          <w:sz w:val="28"/>
          <w:szCs w:val="28"/>
        </w:rPr>
        <w:t xml:space="preserve"> mg/dL </w:t>
      </w:r>
      <w:r w:rsidRPr="00750429">
        <w:rPr>
          <w:rFonts w:asciiTheme="minorBidi" w:hAnsiTheme="minorBidi"/>
          <w:sz w:val="28"/>
          <w:szCs w:val="28"/>
          <w:rtl/>
        </w:rPr>
        <w:t>في الفوسفور فوق القيم الطبيعية</w:t>
      </w:r>
      <w:r w:rsidRPr="00750429">
        <w:rPr>
          <w:rFonts w:asciiTheme="minorBidi" w:hAnsiTheme="minorBidi"/>
          <w:sz w:val="28"/>
          <w:szCs w:val="28"/>
        </w:rPr>
        <w:t xml:space="preserve"> (95% CI:</w:t>
      </w:r>
      <w:r w:rsidRPr="00750429">
        <w:rPr>
          <w:rFonts w:asciiTheme="minorBidi" w:hAnsiTheme="minorBidi"/>
          <w:sz w:val="28"/>
          <w:szCs w:val="28"/>
          <w:rtl/>
        </w:rPr>
        <w:t>‏ 1.16–1.57</w:t>
      </w:r>
      <w:r w:rsidRPr="00750429">
        <w:rPr>
          <w:rFonts w:asciiTheme="minorBidi" w:hAnsiTheme="minorBidi"/>
          <w:sz w:val="28"/>
          <w:szCs w:val="28"/>
        </w:rPr>
        <w:t xml:space="preserve">) [10]. </w:t>
      </w:r>
      <w:r w:rsidRPr="00750429">
        <w:rPr>
          <w:rFonts w:asciiTheme="minorBidi" w:hAnsiTheme="minorBidi"/>
          <w:sz w:val="28"/>
          <w:szCs w:val="28"/>
          <w:rtl/>
        </w:rPr>
        <w:t xml:space="preserve">وكان متوسط مدة المتابعة في الدراسات الفردية نحو سنة إلى سنتين. وفي إحدى الدراسات، التي كانت مشمولة في التحليل التلوي، كان فوسفور المصل </w:t>
      </w:r>
      <w:r w:rsidRPr="00750429">
        <w:rPr>
          <w:rFonts w:asciiTheme="minorBidi" w:hAnsiTheme="minorBidi"/>
          <w:sz w:val="28"/>
          <w:szCs w:val="28"/>
        </w:rPr>
        <w:t xml:space="preserve">&gt;3.5 mg/dL </w:t>
      </w:r>
      <w:r w:rsidRPr="00750429">
        <w:rPr>
          <w:rFonts w:asciiTheme="minorBidi" w:hAnsiTheme="minorBidi"/>
          <w:sz w:val="28"/>
          <w:szCs w:val="28"/>
          <w:rtl/>
        </w:rPr>
        <w:t>‏</w:t>
      </w:r>
      <w:r w:rsidRPr="00750429">
        <w:rPr>
          <w:rFonts w:asciiTheme="minorBidi" w:hAnsiTheme="minorBidi"/>
          <w:sz w:val="28"/>
          <w:szCs w:val="28"/>
        </w:rPr>
        <w:t xml:space="preserve">(1.13 mmol/L) </w:t>
      </w:r>
      <w:r w:rsidRPr="00750429">
        <w:rPr>
          <w:rFonts w:asciiTheme="minorBidi" w:hAnsiTheme="minorBidi"/>
          <w:sz w:val="28"/>
          <w:szCs w:val="28"/>
          <w:rtl/>
        </w:rPr>
        <w:t>متنبئاً مستقلاً بالوفيات الناجمة عن جميع الأسباب</w:t>
      </w:r>
      <w:r w:rsidRPr="00750429">
        <w:rPr>
          <w:rFonts w:asciiTheme="minorBidi" w:hAnsiTheme="minorBidi"/>
          <w:sz w:val="28"/>
          <w:szCs w:val="28"/>
        </w:rPr>
        <w:t xml:space="preserve"> [11].</w:t>
      </w:r>
    </w:p>
    <w:p w14:paraId="5480AB59" w14:textId="77777777" w:rsidR="00660430" w:rsidRDefault="00660430" w:rsidP="00750429">
      <w:pPr>
        <w:bidi/>
        <w:spacing w:after="0"/>
        <w:rPr>
          <w:rFonts w:asciiTheme="minorBidi" w:hAnsiTheme="minorBidi"/>
          <w:sz w:val="28"/>
          <w:szCs w:val="28"/>
          <w:rtl/>
        </w:rPr>
      </w:pPr>
    </w:p>
    <w:p w14:paraId="39275F07" w14:textId="445DACC0" w:rsidR="00750429" w:rsidRDefault="00750429" w:rsidP="00660430">
      <w:pPr>
        <w:bidi/>
        <w:spacing w:after="0"/>
        <w:rPr>
          <w:rFonts w:asciiTheme="minorBidi" w:hAnsiTheme="minorBidi"/>
          <w:sz w:val="28"/>
          <w:szCs w:val="28"/>
        </w:rPr>
      </w:pPr>
      <w:r w:rsidRPr="00750429">
        <w:rPr>
          <w:rFonts w:asciiTheme="minorBidi" w:hAnsiTheme="minorBidi"/>
          <w:sz w:val="28"/>
          <w:szCs w:val="28"/>
          <w:rtl/>
        </w:rPr>
        <w:t>إلا أن دراسات أخرى لم تُظهر ارتباطاً بين فوسفور المصل والوفيات لدى المرضى المصابين بمرض الكلى المزمن غير الخاضعين للغسيل [16،17]. ولم تُظهر إحدى الدراسات المنشورة بعد التحليل المشار إليه ارتباطاً بين قيم فوسفور المصل والوفيات خلال متوسط متابعة تجاوز سنتين [16]. ويرجح أن تكون الاختلافات بين المجموعات السكانية المدروسة سبباً للتباين بين نتائج الدراسات [3]. فعلى سبيل المثال، كان الخلل الكلوي لدى الأفراد في الدراسة اللاحقة أخف بكثير، إذ كان متوسط</w:t>
      </w:r>
      <w:r w:rsidRPr="00750429">
        <w:rPr>
          <w:rFonts w:asciiTheme="minorBidi" w:hAnsiTheme="minorBidi"/>
          <w:sz w:val="28"/>
          <w:szCs w:val="28"/>
        </w:rPr>
        <w:t xml:space="preserve"> eGFR </w:t>
      </w:r>
      <w:r w:rsidRPr="00750429">
        <w:rPr>
          <w:rFonts w:asciiTheme="minorBidi" w:hAnsiTheme="minorBidi"/>
          <w:sz w:val="28"/>
          <w:szCs w:val="28"/>
          <w:rtl/>
        </w:rPr>
        <w:t>لديهم 44–48 مل/دقيقة/1.73 م²، مقارنةً بالدراسات السابقة</w:t>
      </w:r>
      <w:r w:rsidRPr="00750429">
        <w:rPr>
          <w:rFonts w:asciiTheme="minorBidi" w:hAnsiTheme="minorBidi"/>
          <w:sz w:val="28"/>
          <w:szCs w:val="28"/>
        </w:rPr>
        <w:t>.</w:t>
      </w:r>
    </w:p>
    <w:p w14:paraId="4F19B066" w14:textId="77777777" w:rsidR="00660430" w:rsidRPr="00750429" w:rsidRDefault="00660430" w:rsidP="00660430">
      <w:pPr>
        <w:bidi/>
        <w:spacing w:after="0"/>
        <w:rPr>
          <w:rFonts w:asciiTheme="minorBidi" w:hAnsiTheme="minorBidi"/>
          <w:sz w:val="28"/>
          <w:szCs w:val="28"/>
        </w:rPr>
      </w:pPr>
    </w:p>
    <w:p w14:paraId="367552E8" w14:textId="77777777" w:rsidR="00750429" w:rsidRDefault="00750429" w:rsidP="00750429">
      <w:pPr>
        <w:bidi/>
        <w:spacing w:after="0"/>
        <w:rPr>
          <w:rFonts w:asciiTheme="minorBidi" w:hAnsiTheme="minorBidi"/>
          <w:sz w:val="28"/>
          <w:szCs w:val="28"/>
        </w:rPr>
      </w:pPr>
      <w:r w:rsidRPr="00750429">
        <w:rPr>
          <w:rFonts w:asciiTheme="minorBidi" w:hAnsiTheme="minorBidi"/>
          <w:sz w:val="28"/>
          <w:szCs w:val="28"/>
          <w:rtl/>
        </w:rPr>
        <w:t>وتشير الدراسات أيضاً إلى وجود خطر قلبي وعائي متزايد تدريجياً مرتبط بفرط فوسفات الدم لدى الأشخاص ذوي الوظيفة الكلوية الطبيعية، وكذلك لدى مرضى</w:t>
      </w:r>
      <w:r w:rsidRPr="00750429">
        <w:rPr>
          <w:rFonts w:asciiTheme="minorBidi" w:hAnsiTheme="minorBidi"/>
          <w:sz w:val="28"/>
          <w:szCs w:val="28"/>
        </w:rPr>
        <w:t xml:space="preserve"> CKD </w:t>
      </w:r>
      <w:r w:rsidRPr="00750429">
        <w:rPr>
          <w:rFonts w:asciiTheme="minorBidi" w:hAnsiTheme="minorBidi"/>
          <w:sz w:val="28"/>
          <w:szCs w:val="28"/>
          <w:rtl/>
        </w:rPr>
        <w:t>الذين لديهم</w:t>
      </w:r>
      <w:r w:rsidRPr="00750429">
        <w:rPr>
          <w:rFonts w:asciiTheme="minorBidi" w:hAnsiTheme="minorBidi"/>
          <w:sz w:val="28"/>
          <w:szCs w:val="28"/>
        </w:rPr>
        <w:t xml:space="preserve"> eGFR </w:t>
      </w:r>
      <w:r w:rsidRPr="00750429">
        <w:rPr>
          <w:rFonts w:asciiTheme="minorBidi" w:hAnsiTheme="minorBidi"/>
          <w:sz w:val="28"/>
          <w:szCs w:val="28"/>
          <w:rtl/>
        </w:rPr>
        <w:t>أقل من 60 مل/دقيقة/1.73 م² وغير الخاضعين للغسيل</w:t>
      </w:r>
      <w:r w:rsidRPr="00750429">
        <w:rPr>
          <w:rFonts w:asciiTheme="minorBidi" w:hAnsiTheme="minorBidi"/>
          <w:sz w:val="28"/>
          <w:szCs w:val="28"/>
        </w:rPr>
        <w:t xml:space="preserve"> [11،14،18،19].</w:t>
      </w:r>
    </w:p>
    <w:p w14:paraId="0585B63C" w14:textId="77777777" w:rsidR="00660430" w:rsidRPr="00750429" w:rsidRDefault="00660430" w:rsidP="00660430">
      <w:pPr>
        <w:bidi/>
        <w:spacing w:after="0"/>
        <w:rPr>
          <w:rFonts w:asciiTheme="minorBidi" w:hAnsiTheme="minorBidi"/>
          <w:sz w:val="28"/>
          <w:szCs w:val="28"/>
          <w:rtl/>
        </w:rPr>
      </w:pPr>
    </w:p>
    <w:p w14:paraId="6A8E3FA1" w14:textId="77777777" w:rsidR="00F32A99" w:rsidRDefault="00750429" w:rsidP="00750429">
      <w:pPr>
        <w:bidi/>
        <w:spacing w:after="0"/>
        <w:rPr>
          <w:rFonts w:asciiTheme="minorBidi" w:hAnsiTheme="minorBidi"/>
          <w:sz w:val="28"/>
          <w:szCs w:val="28"/>
          <w:rtl/>
        </w:rPr>
      </w:pPr>
      <w:r w:rsidRPr="00750429">
        <w:rPr>
          <w:rFonts w:asciiTheme="minorBidi" w:hAnsiTheme="minorBidi"/>
          <w:sz w:val="28"/>
          <w:szCs w:val="28"/>
        </w:rPr>
        <w:t xml:space="preserve">● </w:t>
      </w:r>
      <w:r w:rsidRPr="00750429">
        <w:rPr>
          <w:rFonts w:asciiTheme="minorBidi" w:hAnsiTheme="minorBidi"/>
          <w:b/>
          <w:bCs/>
          <w:sz w:val="28"/>
          <w:szCs w:val="28"/>
          <w:rtl/>
        </w:rPr>
        <w:t>مرض الكلى المزمن لدى مرضى الغسيل</w:t>
      </w:r>
      <w:r w:rsidRPr="00750429">
        <w:rPr>
          <w:rFonts w:asciiTheme="minorBidi" w:hAnsiTheme="minorBidi"/>
          <w:sz w:val="28"/>
          <w:szCs w:val="28"/>
          <w:rtl/>
        </w:rPr>
        <w:t xml:space="preserve"> </w:t>
      </w:r>
      <w:r w:rsidRPr="00750429">
        <w:rPr>
          <w:rFonts w:asciiTheme="minorBidi" w:hAnsiTheme="minorBidi"/>
          <w:sz w:val="28"/>
          <w:szCs w:val="28"/>
        </w:rPr>
        <w:t xml:space="preserve">— </w:t>
      </w:r>
      <w:r w:rsidRPr="00750429">
        <w:rPr>
          <w:rFonts w:asciiTheme="minorBidi" w:hAnsiTheme="minorBidi"/>
          <w:sz w:val="28"/>
          <w:szCs w:val="28"/>
          <w:rtl/>
        </w:rPr>
        <w:t xml:space="preserve">يرتبط ارتفاع فوسفور المصل بزيادة الوفيات لدى المرضى الخاضعين للغسيل الكلوي [4–10]. وقد ظهر ذلك بصورة أفضل في تحليل لـ12 دراسة شملت 92,345 مريضاً مصاباً بمرض الكلى المزمن، كان أكثر من 97% منهم خاضعين للغسيل [10]. </w:t>
      </w:r>
    </w:p>
    <w:p w14:paraId="4DFA4D12" w14:textId="5397330C" w:rsidR="00750429" w:rsidRDefault="00750429" w:rsidP="00F32A99">
      <w:pPr>
        <w:bidi/>
        <w:spacing w:after="0"/>
        <w:rPr>
          <w:rFonts w:asciiTheme="minorBidi" w:hAnsiTheme="minorBidi"/>
          <w:sz w:val="28"/>
          <w:szCs w:val="28"/>
          <w:rtl/>
        </w:rPr>
      </w:pPr>
      <w:r w:rsidRPr="00750429">
        <w:rPr>
          <w:rFonts w:asciiTheme="minorBidi" w:hAnsiTheme="minorBidi"/>
          <w:sz w:val="28"/>
          <w:szCs w:val="28"/>
          <w:rtl/>
        </w:rPr>
        <w:t xml:space="preserve">ومن بين 10 دراسات اعتُبرت مضبوطة بشكل كافٍ، كانت سبع منها لدى مرضى الغسيل، ارتبط فوسفور المصل </w:t>
      </w:r>
      <w:r w:rsidRPr="00750429">
        <w:rPr>
          <w:rFonts w:asciiTheme="minorBidi" w:hAnsiTheme="minorBidi"/>
          <w:sz w:val="28"/>
          <w:szCs w:val="28"/>
        </w:rPr>
        <w:t xml:space="preserve">&gt;5.5 mg/dL </w:t>
      </w:r>
      <w:r w:rsidRPr="00750429">
        <w:rPr>
          <w:rFonts w:asciiTheme="minorBidi" w:hAnsiTheme="minorBidi"/>
          <w:sz w:val="28"/>
          <w:szCs w:val="28"/>
          <w:rtl/>
        </w:rPr>
        <w:t>‏</w:t>
      </w:r>
      <w:r w:rsidRPr="00750429">
        <w:rPr>
          <w:rFonts w:asciiTheme="minorBidi" w:hAnsiTheme="minorBidi"/>
          <w:sz w:val="28"/>
          <w:szCs w:val="28"/>
        </w:rPr>
        <w:t xml:space="preserve">(1.78 mmol/L) </w:t>
      </w:r>
      <w:r w:rsidRPr="00750429">
        <w:rPr>
          <w:rFonts w:asciiTheme="minorBidi" w:hAnsiTheme="minorBidi"/>
          <w:sz w:val="28"/>
          <w:szCs w:val="28"/>
          <w:rtl/>
        </w:rPr>
        <w:t xml:space="preserve">بزيادة الوفيات. واستناداً إلى 13 دراسة أبلغت </w:t>
      </w:r>
      <w:r w:rsidRPr="00750429">
        <w:rPr>
          <w:rFonts w:asciiTheme="minorBidi" w:hAnsiTheme="minorBidi"/>
          <w:sz w:val="28"/>
          <w:szCs w:val="28"/>
          <w:rtl/>
        </w:rPr>
        <w:lastRenderedPageBreak/>
        <w:t>عن الخطر النسبي المستمر لكل زيادة مقدارها 1</w:t>
      </w:r>
      <w:r w:rsidRPr="00750429">
        <w:rPr>
          <w:rFonts w:asciiTheme="minorBidi" w:hAnsiTheme="minorBidi"/>
          <w:sz w:val="28"/>
          <w:szCs w:val="28"/>
        </w:rPr>
        <w:t xml:space="preserve"> mg/dL </w:t>
      </w:r>
      <w:r w:rsidRPr="00750429">
        <w:rPr>
          <w:rFonts w:asciiTheme="minorBidi" w:hAnsiTheme="minorBidi"/>
          <w:sz w:val="28"/>
          <w:szCs w:val="28"/>
          <w:rtl/>
        </w:rPr>
        <w:t>في الفوسفور، ازداد خطر الوفيات بنسبة 18% ‏</w:t>
      </w:r>
      <w:r w:rsidRPr="00750429">
        <w:rPr>
          <w:rFonts w:asciiTheme="minorBidi" w:hAnsiTheme="minorBidi"/>
          <w:sz w:val="28"/>
          <w:szCs w:val="28"/>
        </w:rPr>
        <w:t>(95% CI:</w:t>
      </w:r>
      <w:r w:rsidRPr="00750429">
        <w:rPr>
          <w:rFonts w:asciiTheme="minorBidi" w:hAnsiTheme="minorBidi"/>
          <w:sz w:val="28"/>
          <w:szCs w:val="28"/>
          <w:rtl/>
        </w:rPr>
        <w:t>‏ 1.12–1.25</w:t>
      </w:r>
      <w:r w:rsidRPr="00750429">
        <w:rPr>
          <w:rFonts w:asciiTheme="minorBidi" w:hAnsiTheme="minorBidi"/>
          <w:sz w:val="28"/>
          <w:szCs w:val="28"/>
        </w:rPr>
        <w:t xml:space="preserve">). </w:t>
      </w:r>
      <w:r w:rsidRPr="00750429">
        <w:rPr>
          <w:rFonts w:asciiTheme="minorBidi" w:hAnsiTheme="minorBidi"/>
          <w:sz w:val="28"/>
          <w:szCs w:val="28"/>
          <w:rtl/>
        </w:rPr>
        <w:t>وارتبط كل من مقدار ارتفاع الفوسفور ومدة استمرار فرط فوسفات الدم بالوفيات</w:t>
      </w:r>
      <w:r w:rsidRPr="00750429">
        <w:rPr>
          <w:rFonts w:asciiTheme="minorBidi" w:hAnsiTheme="minorBidi"/>
          <w:sz w:val="28"/>
          <w:szCs w:val="28"/>
        </w:rPr>
        <w:t>.</w:t>
      </w:r>
    </w:p>
    <w:p w14:paraId="268B7206" w14:textId="77777777" w:rsidR="00F32A99" w:rsidRPr="00750429" w:rsidRDefault="00F32A99" w:rsidP="00F32A99">
      <w:pPr>
        <w:bidi/>
        <w:spacing w:after="0"/>
        <w:rPr>
          <w:rFonts w:asciiTheme="minorBidi" w:hAnsiTheme="minorBidi"/>
          <w:sz w:val="28"/>
          <w:szCs w:val="28"/>
        </w:rPr>
      </w:pPr>
    </w:p>
    <w:p w14:paraId="166B8DA0" w14:textId="77777777" w:rsidR="00750429" w:rsidRPr="00750429" w:rsidRDefault="00750429" w:rsidP="00750429">
      <w:pPr>
        <w:bidi/>
        <w:spacing w:after="0"/>
        <w:rPr>
          <w:rFonts w:asciiTheme="minorBidi" w:hAnsiTheme="minorBidi"/>
          <w:b/>
          <w:bCs/>
          <w:sz w:val="28"/>
          <w:szCs w:val="28"/>
        </w:rPr>
      </w:pPr>
      <w:r w:rsidRPr="00750429">
        <w:rPr>
          <w:rFonts w:asciiTheme="minorBidi" w:hAnsiTheme="minorBidi"/>
          <w:b/>
          <w:bCs/>
          <w:sz w:val="28"/>
          <w:szCs w:val="28"/>
          <w:rtl/>
        </w:rPr>
        <w:t>المراقبة</w:t>
      </w:r>
    </w:p>
    <w:p w14:paraId="3724DDAF" w14:textId="4EA2078D"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المرضى الذين لديهم معدل رشح كبيبي مقدر</w:t>
      </w:r>
      <w:r w:rsidRPr="00750429">
        <w:rPr>
          <w:rFonts w:asciiTheme="minorBidi" w:hAnsiTheme="minorBidi"/>
          <w:sz w:val="28"/>
          <w:szCs w:val="28"/>
        </w:rPr>
        <w:t xml:space="preserve"> (eGFR) </w:t>
      </w:r>
      <w:r w:rsidRPr="00750429">
        <w:rPr>
          <w:rFonts w:asciiTheme="minorBidi" w:hAnsiTheme="minorBidi"/>
          <w:sz w:val="28"/>
          <w:szCs w:val="28"/>
          <w:rtl/>
        </w:rPr>
        <w:t xml:space="preserve">أقل من 60 مل/دقيقة/1.73 م²، نقوم بشكل روتيني بمراقبة مستويات الفوسفور والكالسيوم في المصل، وهرمون جارات الدرق </w:t>
      </w:r>
      <w:r w:rsidRPr="00750429">
        <w:rPr>
          <w:rFonts w:asciiTheme="minorBidi" w:hAnsiTheme="minorBidi"/>
          <w:sz w:val="28"/>
          <w:szCs w:val="28"/>
        </w:rPr>
        <w:t>(iPTH)</w:t>
      </w:r>
      <w:r w:rsidRPr="00750429">
        <w:rPr>
          <w:rFonts w:asciiTheme="minorBidi" w:hAnsiTheme="minorBidi"/>
          <w:sz w:val="28"/>
          <w:szCs w:val="28"/>
          <w:rtl/>
        </w:rPr>
        <w:t>، و25-هيدروكسي فيتامين</w:t>
      </w:r>
      <w:r w:rsidRPr="00750429">
        <w:rPr>
          <w:rFonts w:asciiTheme="minorBidi" w:hAnsiTheme="minorBidi"/>
          <w:sz w:val="28"/>
          <w:szCs w:val="28"/>
        </w:rPr>
        <w:t xml:space="preserve"> D.</w:t>
      </w:r>
    </w:p>
    <w:p w14:paraId="1C59630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ينبغي عادةً إجراء هذه القياسات مرة واحدة سنوياً على الأقل، إلا أن وتيرة القياسات تعتمد أيضاً على قيمة</w:t>
      </w:r>
      <w:r w:rsidRPr="00750429">
        <w:rPr>
          <w:rFonts w:asciiTheme="minorBidi" w:hAnsiTheme="minorBidi"/>
          <w:sz w:val="28"/>
          <w:szCs w:val="28"/>
        </w:rPr>
        <w:t xml:space="preserve"> eGFR</w:t>
      </w:r>
      <w:r w:rsidRPr="00750429">
        <w:rPr>
          <w:rFonts w:asciiTheme="minorBidi" w:hAnsiTheme="minorBidi"/>
          <w:sz w:val="28"/>
          <w:szCs w:val="28"/>
          <w:rtl/>
        </w:rPr>
        <w:t>، وعلى وجود اضطرابات أساسية من عدمه، وما إذا كانت قد اتُخذت تدابير علاجية. كما يمكن إجراء المراقبة بوتيرة أكبر إذا كان</w:t>
      </w:r>
      <w:r w:rsidRPr="00750429">
        <w:rPr>
          <w:rFonts w:asciiTheme="minorBidi" w:hAnsiTheme="minorBidi"/>
          <w:sz w:val="28"/>
          <w:szCs w:val="28"/>
        </w:rPr>
        <w:t xml:space="preserve"> eGFR </w:t>
      </w:r>
      <w:r w:rsidRPr="00750429">
        <w:rPr>
          <w:rFonts w:asciiTheme="minorBidi" w:hAnsiTheme="minorBidi"/>
          <w:sz w:val="28"/>
          <w:szCs w:val="28"/>
          <w:rtl/>
        </w:rPr>
        <w:t>ينخفض بسرعة. وينبغي إعادة فحص القيم إذا ساءت الوظيفة الكلوية. وتُعد القياسات المتسلسلة لمستويات الفوسفور مهمةً، لأن المرضى كثيراً ما ينتقلون بين داخل المجال المستهدف وخارجه</w:t>
      </w:r>
      <w:r w:rsidRPr="00750429">
        <w:rPr>
          <w:rFonts w:asciiTheme="minorBidi" w:hAnsiTheme="minorBidi"/>
          <w:sz w:val="28"/>
          <w:szCs w:val="28"/>
        </w:rPr>
        <w:t>.</w:t>
      </w:r>
    </w:p>
    <w:p w14:paraId="1861F619" w14:textId="77777777" w:rsidR="00F32A99" w:rsidRDefault="00F32A99" w:rsidP="00750429">
      <w:pPr>
        <w:bidi/>
        <w:spacing w:after="0"/>
        <w:rPr>
          <w:rFonts w:asciiTheme="minorBidi" w:hAnsiTheme="minorBidi"/>
          <w:sz w:val="28"/>
          <w:szCs w:val="28"/>
          <w:rtl/>
        </w:rPr>
      </w:pPr>
    </w:p>
    <w:p w14:paraId="371B04A4" w14:textId="39088EFB" w:rsidR="00750429" w:rsidRPr="00750429" w:rsidRDefault="00750429" w:rsidP="00F32A99">
      <w:pPr>
        <w:bidi/>
        <w:spacing w:after="0"/>
        <w:rPr>
          <w:rFonts w:asciiTheme="minorBidi" w:hAnsiTheme="minorBidi"/>
          <w:b/>
          <w:bCs/>
          <w:sz w:val="28"/>
          <w:szCs w:val="28"/>
        </w:rPr>
      </w:pPr>
      <w:r w:rsidRPr="00750429">
        <w:rPr>
          <w:rFonts w:asciiTheme="minorBidi" w:hAnsiTheme="minorBidi"/>
          <w:b/>
          <w:bCs/>
          <w:sz w:val="28"/>
          <w:szCs w:val="28"/>
          <w:rtl/>
        </w:rPr>
        <w:t>عتبات العلاج والأهداف</w:t>
      </w:r>
    </w:p>
    <w:p w14:paraId="228DE68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لم تُحدَّد حتى الآن العتبات المثلى للعلاج والقيم المستهدفة لفوسفور المصل في مرض الكلى المزمن [21]. ومع ذلك، نعتقد أن قيم الفوسفور المستهدفة الواردة أدناه للمرضى غير الخاضعين للغسيل والمرضى الخاضعين للغسيل معقولة ويمكن تحقيقها لدى معظم المرضى</w:t>
      </w:r>
      <w:r w:rsidRPr="00750429">
        <w:rPr>
          <w:rFonts w:asciiTheme="minorBidi" w:hAnsiTheme="minorBidi"/>
          <w:sz w:val="28"/>
          <w:szCs w:val="28"/>
        </w:rPr>
        <w:t>.</w:t>
      </w:r>
    </w:p>
    <w:p w14:paraId="63BDA20A" w14:textId="77777777" w:rsidR="00F32A99" w:rsidRDefault="00F32A99" w:rsidP="00750429">
      <w:pPr>
        <w:bidi/>
        <w:spacing w:after="0"/>
        <w:rPr>
          <w:rFonts w:asciiTheme="minorBidi" w:hAnsiTheme="minorBidi"/>
          <w:b/>
          <w:bCs/>
          <w:sz w:val="28"/>
          <w:szCs w:val="28"/>
          <w:rtl/>
        </w:rPr>
      </w:pPr>
    </w:p>
    <w:p w14:paraId="38D10EC0" w14:textId="012AD86E" w:rsidR="00750429" w:rsidRPr="00750429" w:rsidRDefault="00750429" w:rsidP="00F32A99">
      <w:pPr>
        <w:bidi/>
        <w:spacing w:after="0"/>
        <w:rPr>
          <w:rFonts w:asciiTheme="minorBidi" w:hAnsiTheme="minorBidi"/>
          <w:b/>
          <w:bCs/>
          <w:sz w:val="28"/>
          <w:szCs w:val="28"/>
        </w:rPr>
      </w:pPr>
      <w:r w:rsidRPr="00750429">
        <w:rPr>
          <w:rFonts w:asciiTheme="minorBidi" w:hAnsiTheme="minorBidi"/>
          <w:b/>
          <w:bCs/>
          <w:sz w:val="28"/>
          <w:szCs w:val="28"/>
          <w:rtl/>
        </w:rPr>
        <w:t>المرضى غير الخاضعين للغسيل</w:t>
      </w:r>
    </w:p>
    <w:p w14:paraId="472FA97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المرضى المصابين بمرض الكلى المزمن غير الخاضعين للغسيل، نبدأ بتعديل النظام الغذائي عندما يكون مستوى فوسفور المصل أعلى من الطبيعي، أي ≥4.5</w:t>
      </w:r>
      <w:r w:rsidRPr="00750429">
        <w:rPr>
          <w:rFonts w:asciiTheme="minorBidi" w:hAnsiTheme="minorBidi"/>
          <w:sz w:val="28"/>
          <w:szCs w:val="28"/>
        </w:rPr>
        <w:t xml:space="preserve"> mg/dL </w:t>
      </w:r>
      <w:r w:rsidRPr="00750429">
        <w:rPr>
          <w:rFonts w:asciiTheme="minorBidi" w:hAnsiTheme="minorBidi"/>
          <w:sz w:val="28"/>
          <w:szCs w:val="28"/>
          <w:rtl/>
        </w:rPr>
        <w:t>‏</w:t>
      </w:r>
      <w:r w:rsidRPr="00750429">
        <w:rPr>
          <w:rFonts w:asciiTheme="minorBidi" w:hAnsiTheme="minorBidi"/>
          <w:sz w:val="28"/>
          <w:szCs w:val="28"/>
        </w:rPr>
        <w:t>(1.45 mmol/L)</w:t>
      </w:r>
      <w:r w:rsidRPr="00750429">
        <w:rPr>
          <w:rFonts w:asciiTheme="minorBidi" w:hAnsiTheme="minorBidi"/>
          <w:sz w:val="28"/>
          <w:szCs w:val="28"/>
          <w:rtl/>
        </w:rPr>
        <w:t>، بهدف خفض فوسفور المصل إلى المجال الطبيعي</w:t>
      </w:r>
      <w:r w:rsidRPr="00750429">
        <w:rPr>
          <w:rFonts w:asciiTheme="minorBidi" w:hAnsiTheme="minorBidi"/>
          <w:sz w:val="28"/>
          <w:szCs w:val="28"/>
        </w:rPr>
        <w:t>.</w:t>
      </w:r>
    </w:p>
    <w:p w14:paraId="0A84887B" w14:textId="08FCBAF6"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 xml:space="preserve">ولا نبدأ رابطات </w:t>
      </w:r>
      <w:r w:rsidR="00F32A99">
        <w:rPr>
          <w:rFonts w:asciiTheme="minorBidi" w:hAnsiTheme="minorBidi" w:hint="cs"/>
          <w:sz w:val="28"/>
          <w:szCs w:val="28"/>
          <w:rtl/>
        </w:rPr>
        <w:t xml:space="preserve">(خالبات </w:t>
      </w:r>
      <w:r w:rsidR="00F32A99">
        <w:rPr>
          <w:rFonts w:asciiTheme="minorBidi" w:hAnsiTheme="minorBidi"/>
          <w:sz w:val="28"/>
          <w:szCs w:val="28"/>
        </w:rPr>
        <w:t>binders</w:t>
      </w:r>
      <w:r w:rsidR="00F32A99">
        <w:rPr>
          <w:rFonts w:asciiTheme="minorBidi" w:hAnsiTheme="minorBidi" w:hint="cs"/>
          <w:sz w:val="28"/>
          <w:szCs w:val="28"/>
          <w:rtl/>
        </w:rPr>
        <w:t xml:space="preserve">) </w:t>
      </w:r>
      <w:r w:rsidRPr="00750429">
        <w:rPr>
          <w:rFonts w:asciiTheme="minorBidi" w:hAnsiTheme="minorBidi"/>
          <w:sz w:val="28"/>
          <w:szCs w:val="28"/>
          <w:rtl/>
        </w:rPr>
        <w:t xml:space="preserve">الفوسفات إلا عندما يبقى فوسفور المصل مرتفعاً بصورة مستمرة </w:t>
      </w:r>
      <w:r w:rsidRPr="00750429">
        <w:rPr>
          <w:rFonts w:asciiTheme="minorBidi" w:hAnsiTheme="minorBidi"/>
          <w:sz w:val="28"/>
          <w:szCs w:val="28"/>
        </w:rPr>
        <w:t xml:space="preserve">&gt;5.5 mg/dL </w:t>
      </w:r>
      <w:r w:rsidRPr="00750429">
        <w:rPr>
          <w:rFonts w:asciiTheme="minorBidi" w:hAnsiTheme="minorBidi"/>
          <w:sz w:val="28"/>
          <w:szCs w:val="28"/>
          <w:rtl/>
        </w:rPr>
        <w:t>رغم التقييد الغذائي</w:t>
      </w:r>
      <w:r w:rsidRPr="00750429">
        <w:rPr>
          <w:rFonts w:asciiTheme="minorBidi" w:hAnsiTheme="minorBidi"/>
          <w:sz w:val="28"/>
          <w:szCs w:val="28"/>
        </w:rPr>
        <w:t xml:space="preserve"> [22–25].</w:t>
      </w:r>
    </w:p>
    <w:p w14:paraId="1974992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ولدى المرضى الذين يتلقون رابطات الفوسفات إضافةً إلى التعديل الغذائي، نستهدف فوسفور مصل ≤5.5</w:t>
      </w:r>
      <w:r w:rsidRPr="00750429">
        <w:rPr>
          <w:rFonts w:asciiTheme="minorBidi" w:hAnsiTheme="minorBidi"/>
          <w:sz w:val="28"/>
          <w:szCs w:val="28"/>
        </w:rPr>
        <w:t xml:space="preserve"> mg/dL.</w:t>
      </w:r>
    </w:p>
    <w:p w14:paraId="2923FEB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ويتوافق هذا النهج عموماً مع إرشادات</w:t>
      </w:r>
      <w:r w:rsidRPr="00750429">
        <w:rPr>
          <w:rFonts w:asciiTheme="minorBidi" w:hAnsiTheme="minorBidi"/>
          <w:sz w:val="28"/>
          <w:szCs w:val="28"/>
        </w:rPr>
        <w:t xml:space="preserve"> KDIGO [20،23،26].</w:t>
      </w:r>
    </w:p>
    <w:p w14:paraId="40855332" w14:textId="77777777" w:rsidR="00F32A99" w:rsidRDefault="00F32A99" w:rsidP="00750429">
      <w:pPr>
        <w:bidi/>
        <w:spacing w:after="0"/>
        <w:rPr>
          <w:rFonts w:asciiTheme="minorBidi" w:hAnsiTheme="minorBidi"/>
          <w:b/>
          <w:bCs/>
          <w:sz w:val="28"/>
          <w:szCs w:val="28"/>
        </w:rPr>
      </w:pPr>
    </w:p>
    <w:p w14:paraId="64EF0632" w14:textId="629D1D99" w:rsidR="00750429" w:rsidRPr="00750429" w:rsidRDefault="00750429" w:rsidP="00F32A99">
      <w:pPr>
        <w:bidi/>
        <w:spacing w:after="0"/>
        <w:rPr>
          <w:rFonts w:asciiTheme="minorBidi" w:hAnsiTheme="minorBidi"/>
          <w:b/>
          <w:bCs/>
          <w:sz w:val="28"/>
          <w:szCs w:val="28"/>
        </w:rPr>
      </w:pPr>
      <w:r w:rsidRPr="00750429">
        <w:rPr>
          <w:rFonts w:asciiTheme="minorBidi" w:hAnsiTheme="minorBidi"/>
          <w:b/>
          <w:bCs/>
          <w:sz w:val="28"/>
          <w:szCs w:val="28"/>
          <w:rtl/>
        </w:rPr>
        <w:t>المرضى الخاضعون للغسيل</w:t>
      </w:r>
    </w:p>
    <w:p w14:paraId="40CD9EF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 xml:space="preserve">لدى مرضى الغسيل، يُعد فوسفور المصل </w:t>
      </w:r>
      <w:r w:rsidRPr="00750429">
        <w:rPr>
          <w:rFonts w:asciiTheme="minorBidi" w:hAnsiTheme="minorBidi"/>
          <w:sz w:val="28"/>
          <w:szCs w:val="28"/>
        </w:rPr>
        <w:t xml:space="preserve">&gt;5.5 mg/dL </w:t>
      </w:r>
      <w:r w:rsidRPr="00750429">
        <w:rPr>
          <w:rFonts w:asciiTheme="minorBidi" w:hAnsiTheme="minorBidi"/>
          <w:sz w:val="28"/>
          <w:szCs w:val="28"/>
          <w:rtl/>
        </w:rPr>
        <w:t>‏</w:t>
      </w:r>
      <w:r w:rsidRPr="00750429">
        <w:rPr>
          <w:rFonts w:asciiTheme="minorBidi" w:hAnsiTheme="minorBidi"/>
          <w:sz w:val="28"/>
          <w:szCs w:val="28"/>
        </w:rPr>
        <w:t xml:space="preserve">(1.78 mmol/L) </w:t>
      </w:r>
      <w:r w:rsidRPr="00750429">
        <w:rPr>
          <w:rFonts w:asciiTheme="minorBidi" w:hAnsiTheme="minorBidi"/>
          <w:sz w:val="28"/>
          <w:szCs w:val="28"/>
          <w:rtl/>
        </w:rPr>
        <w:t>مؤشراً للعلاج</w:t>
      </w:r>
      <w:r w:rsidRPr="00750429">
        <w:rPr>
          <w:rFonts w:asciiTheme="minorBidi" w:hAnsiTheme="minorBidi"/>
          <w:sz w:val="28"/>
          <w:szCs w:val="28"/>
        </w:rPr>
        <w:t>.</w:t>
      </w:r>
    </w:p>
    <w:p w14:paraId="2B57DAF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ونسعى لدى معظم المرضى إلى الحفاظ على تركيز فوسفور المصل بين 3.5 و5.5</w:t>
      </w:r>
      <w:r w:rsidRPr="00750429">
        <w:rPr>
          <w:rFonts w:asciiTheme="minorBidi" w:hAnsiTheme="minorBidi"/>
          <w:sz w:val="28"/>
          <w:szCs w:val="28"/>
        </w:rPr>
        <w:t xml:space="preserve"> mg/dL</w:t>
      </w:r>
      <w:r w:rsidRPr="00750429">
        <w:rPr>
          <w:rFonts w:asciiTheme="minorBidi" w:hAnsiTheme="minorBidi"/>
          <w:sz w:val="28"/>
          <w:szCs w:val="28"/>
          <w:rtl/>
        </w:rPr>
        <w:t>، بما في ذلك الحدّان، أي بين 1.13 و1.78</w:t>
      </w:r>
      <w:r w:rsidRPr="00750429">
        <w:rPr>
          <w:rFonts w:asciiTheme="minorBidi" w:hAnsiTheme="minorBidi"/>
          <w:sz w:val="28"/>
          <w:szCs w:val="28"/>
        </w:rPr>
        <w:t xml:space="preserve"> mmol/L</w:t>
      </w:r>
      <w:r w:rsidRPr="00750429">
        <w:rPr>
          <w:rFonts w:asciiTheme="minorBidi" w:hAnsiTheme="minorBidi"/>
          <w:sz w:val="28"/>
          <w:szCs w:val="28"/>
          <w:rtl/>
        </w:rPr>
        <w:t>، رغم عدم وجود بيانات من تجارب تثبت أن خفض فوسفور المصل إلى أقل من 5.5</w:t>
      </w:r>
      <w:r w:rsidRPr="00750429">
        <w:rPr>
          <w:rFonts w:asciiTheme="minorBidi" w:hAnsiTheme="minorBidi"/>
          <w:sz w:val="28"/>
          <w:szCs w:val="28"/>
        </w:rPr>
        <w:t xml:space="preserve"> mg/dL </w:t>
      </w:r>
      <w:r w:rsidRPr="00750429">
        <w:rPr>
          <w:rFonts w:asciiTheme="minorBidi" w:hAnsiTheme="minorBidi"/>
          <w:sz w:val="28"/>
          <w:szCs w:val="28"/>
          <w:rtl/>
        </w:rPr>
        <w:t>يحسن النتائج السريرية</w:t>
      </w:r>
      <w:r w:rsidRPr="00750429">
        <w:rPr>
          <w:rFonts w:asciiTheme="minorBidi" w:hAnsiTheme="minorBidi"/>
          <w:sz w:val="28"/>
          <w:szCs w:val="28"/>
        </w:rPr>
        <w:t>.</w:t>
      </w:r>
    </w:p>
    <w:p w14:paraId="64783E3F" w14:textId="55D56C1F" w:rsid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ويتوافق هذا المجال المستهدف للفوسفور مع إرشادات</w:t>
      </w:r>
      <w:r w:rsidRPr="00750429">
        <w:rPr>
          <w:rFonts w:asciiTheme="minorBidi" w:hAnsiTheme="minorBidi"/>
          <w:sz w:val="28"/>
          <w:szCs w:val="28"/>
        </w:rPr>
        <w:t xml:space="preserve"> Kidney Disease Outcomes Quality Initiative </w:t>
      </w:r>
      <w:r w:rsidRPr="00750429">
        <w:rPr>
          <w:rFonts w:asciiTheme="minorBidi" w:hAnsiTheme="minorBidi"/>
          <w:sz w:val="28"/>
          <w:szCs w:val="28"/>
          <w:rtl/>
        </w:rPr>
        <w:t>‏</w:t>
      </w:r>
      <w:r w:rsidRPr="00750429">
        <w:rPr>
          <w:rFonts w:asciiTheme="minorBidi" w:hAnsiTheme="minorBidi"/>
          <w:sz w:val="28"/>
          <w:szCs w:val="28"/>
        </w:rPr>
        <w:t>(KDOQI) [22]</w:t>
      </w:r>
      <w:r w:rsidRPr="00750429">
        <w:rPr>
          <w:rFonts w:asciiTheme="minorBidi" w:hAnsiTheme="minorBidi"/>
          <w:sz w:val="28"/>
          <w:szCs w:val="28"/>
          <w:rtl/>
        </w:rPr>
        <w:t>، لكنه يختلف عن إرشادات</w:t>
      </w:r>
      <w:r w:rsidRPr="00750429">
        <w:rPr>
          <w:rFonts w:asciiTheme="minorBidi" w:hAnsiTheme="minorBidi"/>
          <w:sz w:val="28"/>
          <w:szCs w:val="28"/>
        </w:rPr>
        <w:t xml:space="preserve"> KDIGO </w:t>
      </w:r>
      <w:r w:rsidRPr="00750429">
        <w:rPr>
          <w:rFonts w:asciiTheme="minorBidi" w:hAnsiTheme="minorBidi"/>
          <w:sz w:val="28"/>
          <w:szCs w:val="28"/>
          <w:rtl/>
        </w:rPr>
        <w:t xml:space="preserve">اللاحقة، التي توصي بخفض مستويات الفوسفور نحو المجال الطبيعي دون تحديد قيمة رقمية [20،23]. </w:t>
      </w:r>
    </w:p>
    <w:p w14:paraId="12A7C537" w14:textId="77777777" w:rsidR="00F32A99" w:rsidRDefault="00F32A99" w:rsidP="00F32A99">
      <w:pPr>
        <w:bidi/>
        <w:spacing w:after="0"/>
        <w:rPr>
          <w:rFonts w:asciiTheme="minorBidi" w:hAnsiTheme="minorBidi"/>
          <w:sz w:val="28"/>
          <w:szCs w:val="28"/>
        </w:rPr>
      </w:pPr>
    </w:p>
    <w:p w14:paraId="0C094467" w14:textId="77777777" w:rsidR="00F32A99" w:rsidRDefault="00F32A99" w:rsidP="00F32A99">
      <w:pPr>
        <w:bidi/>
        <w:spacing w:after="0"/>
        <w:rPr>
          <w:rFonts w:asciiTheme="minorBidi" w:hAnsiTheme="minorBidi"/>
          <w:sz w:val="28"/>
          <w:szCs w:val="28"/>
        </w:rPr>
      </w:pPr>
    </w:p>
    <w:p w14:paraId="274168A0" w14:textId="77777777" w:rsidR="00F32A99" w:rsidRDefault="00F32A99" w:rsidP="00F32A99">
      <w:pPr>
        <w:bidi/>
        <w:spacing w:after="0"/>
        <w:rPr>
          <w:rFonts w:asciiTheme="minorBidi" w:hAnsiTheme="minorBidi"/>
          <w:sz w:val="28"/>
          <w:szCs w:val="28"/>
        </w:rPr>
      </w:pPr>
    </w:p>
    <w:p w14:paraId="1FC589E9" w14:textId="77777777" w:rsidR="00F32A99" w:rsidRPr="00750429" w:rsidRDefault="00F32A99" w:rsidP="00F32A99">
      <w:pPr>
        <w:bidi/>
        <w:spacing w:after="0"/>
        <w:rPr>
          <w:rFonts w:asciiTheme="minorBidi" w:hAnsiTheme="minorBidi"/>
          <w:sz w:val="28"/>
          <w:szCs w:val="28"/>
        </w:rPr>
      </w:pPr>
    </w:p>
    <w:p w14:paraId="73F8F523" w14:textId="77777777" w:rsidR="00750429" w:rsidRPr="00750429" w:rsidRDefault="00750429" w:rsidP="00750429">
      <w:pPr>
        <w:bidi/>
        <w:spacing w:after="0"/>
        <w:rPr>
          <w:rFonts w:asciiTheme="minorBidi" w:hAnsiTheme="minorBidi"/>
          <w:b/>
          <w:bCs/>
          <w:sz w:val="28"/>
          <w:szCs w:val="28"/>
        </w:rPr>
      </w:pPr>
      <w:r w:rsidRPr="00750429">
        <w:rPr>
          <w:rFonts w:asciiTheme="minorBidi" w:hAnsiTheme="minorBidi"/>
          <w:b/>
          <w:bCs/>
          <w:sz w:val="28"/>
          <w:szCs w:val="28"/>
          <w:rtl/>
        </w:rPr>
        <w:lastRenderedPageBreak/>
        <w:t>العلاج</w:t>
      </w:r>
    </w:p>
    <w:p w14:paraId="30E14264" w14:textId="422C083A"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نعالج فرط فوسفات الدم بطريقة تدريجية و</w:t>
      </w:r>
      <w:r w:rsidR="00F32A99">
        <w:rPr>
          <w:rFonts w:asciiTheme="minorBidi" w:hAnsiTheme="minorBidi" w:hint="cs"/>
          <w:sz w:val="28"/>
          <w:szCs w:val="28"/>
          <w:rtl/>
        </w:rPr>
        <w:t xml:space="preserve">/أو </w:t>
      </w:r>
      <w:r w:rsidRPr="00750429">
        <w:rPr>
          <w:rFonts w:asciiTheme="minorBidi" w:hAnsiTheme="minorBidi"/>
          <w:sz w:val="28"/>
          <w:szCs w:val="28"/>
          <w:rtl/>
        </w:rPr>
        <w:t>تراكمية</w:t>
      </w:r>
      <w:r w:rsidRPr="00750429">
        <w:rPr>
          <w:rFonts w:asciiTheme="minorBidi" w:hAnsiTheme="minorBidi"/>
          <w:sz w:val="28"/>
          <w:szCs w:val="28"/>
        </w:rPr>
        <w:t>.</w:t>
      </w:r>
    </w:p>
    <w:p w14:paraId="4CBCC7C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المرضى الذين نعالجهم، نبدأ بتعديل النظام الغذائي، ونحسّن نظام الغسيل لدى المرضى الخاضعين للغسيل، ثم نضيف رابطات الفوسفات وغيرها من التدابير إذا لزم الأمر في حال بقاء فرط فوسفات الدم غير مضبوط</w:t>
      </w:r>
      <w:r w:rsidRPr="00750429">
        <w:rPr>
          <w:rFonts w:asciiTheme="minorBidi" w:hAnsiTheme="minorBidi"/>
          <w:sz w:val="28"/>
          <w:szCs w:val="28"/>
        </w:rPr>
        <w:t>.</w:t>
      </w:r>
    </w:p>
    <w:p w14:paraId="0148E1C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 xml:space="preserve">ومع ذلك، يبدأ بعض الأطباء بالتقييد الغذائي ورابطات الفوسفات في الوقت نفسه لدى المرضى الذين تكون مستويات الفوسفور لديهم مرتفعةً جداً عند العرض، مثلاً </w:t>
      </w:r>
      <w:r w:rsidRPr="00750429">
        <w:rPr>
          <w:rFonts w:asciiTheme="minorBidi" w:hAnsiTheme="minorBidi"/>
          <w:sz w:val="28"/>
          <w:szCs w:val="28"/>
        </w:rPr>
        <w:t>&gt;6.5 mg/dL</w:t>
      </w:r>
      <w:r w:rsidRPr="00750429">
        <w:rPr>
          <w:rFonts w:asciiTheme="minorBidi" w:hAnsiTheme="minorBidi"/>
          <w:sz w:val="28"/>
          <w:szCs w:val="28"/>
          <w:rtl/>
        </w:rPr>
        <w:t>، لأن التقييد الغذائي وحده يكون غير فعال لدى كثير من هؤلاء المرضى</w:t>
      </w:r>
      <w:r w:rsidRPr="00750429">
        <w:rPr>
          <w:rFonts w:asciiTheme="minorBidi" w:hAnsiTheme="minorBidi"/>
          <w:sz w:val="28"/>
          <w:szCs w:val="28"/>
        </w:rPr>
        <w:t>.</w:t>
      </w:r>
    </w:p>
    <w:p w14:paraId="775C29C4" w14:textId="77777777" w:rsidR="00DF1DB7" w:rsidRDefault="00DF1DB7" w:rsidP="00750429">
      <w:pPr>
        <w:bidi/>
        <w:spacing w:after="0"/>
        <w:rPr>
          <w:rFonts w:asciiTheme="minorBidi" w:hAnsiTheme="minorBidi"/>
          <w:b/>
          <w:bCs/>
          <w:sz w:val="28"/>
          <w:szCs w:val="28"/>
          <w:rtl/>
        </w:rPr>
      </w:pPr>
    </w:p>
    <w:p w14:paraId="640A69E1" w14:textId="2C41E788" w:rsidR="00750429" w:rsidRPr="00750429" w:rsidRDefault="00750429" w:rsidP="00DF1DB7">
      <w:pPr>
        <w:bidi/>
        <w:spacing w:after="0"/>
        <w:rPr>
          <w:rFonts w:asciiTheme="minorBidi" w:hAnsiTheme="minorBidi"/>
          <w:b/>
          <w:bCs/>
          <w:sz w:val="28"/>
          <w:szCs w:val="28"/>
        </w:rPr>
      </w:pPr>
      <w:r w:rsidRPr="00750429">
        <w:rPr>
          <w:rFonts w:asciiTheme="minorBidi" w:hAnsiTheme="minorBidi"/>
          <w:b/>
          <w:bCs/>
          <w:sz w:val="28"/>
          <w:szCs w:val="28"/>
          <w:rtl/>
        </w:rPr>
        <w:t>تقييد الفوسفور الغذائي لدى جميع المرضى</w:t>
      </w:r>
    </w:p>
    <w:p w14:paraId="7E8CCDB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يبدأ نهجنا العلاجي بتقييد معتدل للفوسفور الغذائي إلى ما بين 800 و1000</w:t>
      </w:r>
      <w:r w:rsidRPr="00750429">
        <w:rPr>
          <w:rFonts w:asciiTheme="minorBidi" w:hAnsiTheme="minorBidi"/>
          <w:sz w:val="28"/>
          <w:szCs w:val="28"/>
        </w:rPr>
        <w:t xml:space="preserve"> mg </w:t>
      </w:r>
      <w:r w:rsidRPr="00750429">
        <w:rPr>
          <w:rFonts w:asciiTheme="minorBidi" w:hAnsiTheme="minorBidi"/>
          <w:sz w:val="28"/>
          <w:szCs w:val="28"/>
          <w:rtl/>
        </w:rPr>
        <w:t>يومياً ‏</w:t>
      </w:r>
      <w:r w:rsidRPr="00750429">
        <w:rPr>
          <w:rFonts w:asciiTheme="minorBidi" w:hAnsiTheme="minorBidi"/>
          <w:sz w:val="28"/>
          <w:szCs w:val="28"/>
        </w:rPr>
        <w:t xml:space="preserve">(25.8–32.3 mmol </w:t>
      </w:r>
      <w:r w:rsidRPr="00750429">
        <w:rPr>
          <w:rFonts w:asciiTheme="minorBidi" w:hAnsiTheme="minorBidi"/>
          <w:sz w:val="28"/>
          <w:szCs w:val="28"/>
          <w:rtl/>
        </w:rPr>
        <w:t>يومياً</w:t>
      </w:r>
      <w:r w:rsidRPr="00750429">
        <w:rPr>
          <w:rFonts w:asciiTheme="minorBidi" w:hAnsiTheme="minorBidi"/>
          <w:sz w:val="28"/>
          <w:szCs w:val="28"/>
        </w:rPr>
        <w:t>)</w:t>
      </w:r>
      <w:r w:rsidRPr="00750429">
        <w:rPr>
          <w:rFonts w:asciiTheme="minorBidi" w:hAnsiTheme="minorBidi"/>
          <w:sz w:val="28"/>
          <w:szCs w:val="28"/>
          <w:rtl/>
        </w:rPr>
        <w:t>، بشرط إمكان القيام بذلك دون الإضرار بالحالة التغذوية</w:t>
      </w:r>
      <w:r w:rsidRPr="00750429">
        <w:rPr>
          <w:rFonts w:asciiTheme="minorBidi" w:hAnsiTheme="minorBidi"/>
          <w:sz w:val="28"/>
          <w:szCs w:val="28"/>
        </w:rPr>
        <w:t>.</w:t>
      </w:r>
    </w:p>
    <w:p w14:paraId="7ABD60F0"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ونظراً لأن كثيراً من مرضى الغسيل يعانون سوء تغذية واضحاً أو حدياً، فينبغي إجراء تقييد الفوسفور لدى مرضى الغسيل تحت إشراف اختصاصي تغذية</w:t>
      </w:r>
      <w:r w:rsidRPr="00750429">
        <w:rPr>
          <w:rFonts w:asciiTheme="minorBidi" w:hAnsiTheme="minorBidi"/>
          <w:sz w:val="28"/>
          <w:szCs w:val="28"/>
        </w:rPr>
        <w:t>.</w:t>
      </w:r>
    </w:p>
    <w:p w14:paraId="0082CC36" w14:textId="77777777" w:rsidR="00564C50" w:rsidRDefault="00564C50" w:rsidP="00750429">
      <w:pPr>
        <w:bidi/>
        <w:spacing w:after="0"/>
        <w:rPr>
          <w:rFonts w:asciiTheme="minorBidi" w:hAnsiTheme="minorBidi"/>
          <w:sz w:val="28"/>
          <w:szCs w:val="28"/>
          <w:rtl/>
        </w:rPr>
      </w:pPr>
    </w:p>
    <w:p w14:paraId="0CBE847F" w14:textId="664BAEEE" w:rsidR="00750429" w:rsidRPr="00750429" w:rsidRDefault="00750429" w:rsidP="00564C50">
      <w:pPr>
        <w:bidi/>
        <w:spacing w:after="0"/>
        <w:rPr>
          <w:rFonts w:asciiTheme="minorBidi" w:hAnsiTheme="minorBidi"/>
          <w:sz w:val="28"/>
          <w:szCs w:val="28"/>
        </w:rPr>
      </w:pPr>
      <w:r w:rsidRPr="00750429">
        <w:rPr>
          <w:rFonts w:asciiTheme="minorBidi" w:hAnsiTheme="minorBidi"/>
          <w:sz w:val="28"/>
          <w:szCs w:val="28"/>
          <w:rtl/>
        </w:rPr>
        <w:t>ينبغي أن يتركز تقييد الفوسفور في المقام الأول على الأطعمة المصنّعة والمشروبات الغازية من نوع الكولا، وليس على الأغذية ذات القيمة البيولوجية العالية مثل اللحوم والبيض</w:t>
      </w:r>
      <w:r w:rsidRPr="00750429">
        <w:rPr>
          <w:rFonts w:asciiTheme="minorBidi" w:hAnsiTheme="minorBidi"/>
          <w:sz w:val="28"/>
          <w:szCs w:val="28"/>
        </w:rPr>
        <w:t>.</w:t>
      </w:r>
    </w:p>
    <w:p w14:paraId="03EDAD7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وتُعد المضافات الغذائية الموجودة في الأطعمة المصنّعة والأدوية مصدراً مهماً للفوسفور الغذائي</w:t>
      </w:r>
      <w:r w:rsidRPr="00750429">
        <w:rPr>
          <w:rFonts w:asciiTheme="minorBidi" w:hAnsiTheme="minorBidi"/>
          <w:sz w:val="28"/>
          <w:szCs w:val="28"/>
        </w:rPr>
        <w:t xml:space="preserve"> [27–29].</w:t>
      </w:r>
    </w:p>
    <w:p w14:paraId="50238F7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وبالإضافة إلى احتوائها على كمية كبيرة من الفوسفور، توفر الأطعمة المصنّعة شكلاً من الفوسفور أسهل امتصاصاً مقارنةً بالأطعمة الحيوانية والنباتية الطازجة</w:t>
      </w:r>
      <w:r w:rsidRPr="00750429">
        <w:rPr>
          <w:rFonts w:asciiTheme="minorBidi" w:hAnsiTheme="minorBidi"/>
          <w:sz w:val="28"/>
          <w:szCs w:val="28"/>
        </w:rPr>
        <w:t xml:space="preserve"> [30،31].</w:t>
      </w:r>
    </w:p>
    <w:p w14:paraId="34338834" w14:textId="77777777" w:rsidR="00564C50" w:rsidRDefault="00564C50" w:rsidP="00750429">
      <w:pPr>
        <w:bidi/>
        <w:spacing w:after="0"/>
        <w:rPr>
          <w:rFonts w:asciiTheme="minorBidi" w:hAnsiTheme="minorBidi"/>
          <w:sz w:val="28"/>
          <w:szCs w:val="28"/>
          <w:rtl/>
        </w:rPr>
      </w:pPr>
    </w:p>
    <w:p w14:paraId="30F07340" w14:textId="34E0EEBD" w:rsidR="00750429" w:rsidRPr="00750429" w:rsidRDefault="00750429" w:rsidP="00564C50">
      <w:pPr>
        <w:bidi/>
        <w:spacing w:after="0"/>
        <w:rPr>
          <w:rFonts w:asciiTheme="minorBidi" w:hAnsiTheme="minorBidi"/>
          <w:sz w:val="28"/>
          <w:szCs w:val="28"/>
        </w:rPr>
      </w:pPr>
      <w:r w:rsidRPr="00750429">
        <w:rPr>
          <w:rFonts w:asciiTheme="minorBidi" w:hAnsiTheme="minorBidi"/>
          <w:sz w:val="28"/>
          <w:szCs w:val="28"/>
          <w:rtl/>
        </w:rPr>
        <w:t>وقد يكون التوافر الحيوي للفوسفات أقل في النظام الغذائي النباتي مقارنةً بالنظام المعتمد على البروتين الحيواني</w:t>
      </w:r>
      <w:r w:rsidRPr="00750429">
        <w:rPr>
          <w:rFonts w:asciiTheme="minorBidi" w:hAnsiTheme="minorBidi"/>
          <w:sz w:val="28"/>
          <w:szCs w:val="28"/>
        </w:rPr>
        <w:t xml:space="preserve"> [33].</w:t>
      </w:r>
    </w:p>
    <w:p w14:paraId="138220F0"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تكون كثير من الأطعمة التي صُنّفت تقليدياً على أنها غنية بالفوسفور، مثل الفاصولياء والمكسرات، مقبولةً في الواقع، بشرط ألا تكون غنيةً جداً بالبوتاسيوم، لأن الفوسفات من هذه المصادر يُمتص ببطء</w:t>
      </w:r>
      <w:r w:rsidRPr="00750429">
        <w:rPr>
          <w:rFonts w:asciiTheme="minorBidi" w:hAnsiTheme="minorBidi"/>
          <w:sz w:val="28"/>
          <w:szCs w:val="28"/>
        </w:rPr>
        <w:t xml:space="preserve"> [20،31].</w:t>
      </w:r>
    </w:p>
    <w:p w14:paraId="023663FE"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ويرجع ذلك إلى أن الفوسفور النباتي الموجود في الأغذية غير المصنّعة يوجد على هيئة فوسفور الفيتات، ولا تفرز الأمعاء البشرية إنزيم الفيتاز، وهو الإنزيم اللازم لامتصاصه</w:t>
      </w:r>
      <w:r w:rsidRPr="00750429">
        <w:rPr>
          <w:rFonts w:asciiTheme="minorBidi" w:hAnsiTheme="minorBidi"/>
          <w:sz w:val="28"/>
          <w:szCs w:val="28"/>
        </w:rPr>
        <w:t xml:space="preserve"> [30].</w:t>
      </w:r>
    </w:p>
    <w:p w14:paraId="7BA6C1B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إضافةً إلى ذلك، قد يؤدي هذا النظام الغذائي الغني بالبقول والمكسرات والحبوب الكاملة إلى زيادة تناول الألياف مع إتاحة خيارات غذائية أوسع</w:t>
      </w:r>
      <w:r w:rsidRPr="00750429">
        <w:rPr>
          <w:rFonts w:asciiTheme="minorBidi" w:hAnsiTheme="minorBidi"/>
          <w:sz w:val="28"/>
          <w:szCs w:val="28"/>
        </w:rPr>
        <w:t xml:space="preserve"> [31].</w:t>
      </w:r>
    </w:p>
    <w:p w14:paraId="7E05AFE5" w14:textId="77777777" w:rsidR="00564C50" w:rsidRDefault="00564C50" w:rsidP="00750429">
      <w:pPr>
        <w:bidi/>
        <w:spacing w:after="0"/>
        <w:rPr>
          <w:rFonts w:asciiTheme="minorBidi" w:hAnsiTheme="minorBidi"/>
          <w:sz w:val="28"/>
          <w:szCs w:val="28"/>
          <w:rtl/>
        </w:rPr>
      </w:pPr>
    </w:p>
    <w:p w14:paraId="47627D66" w14:textId="37FCF311" w:rsidR="00750429" w:rsidRPr="00750429" w:rsidRDefault="00750429" w:rsidP="00564C50">
      <w:pPr>
        <w:bidi/>
        <w:spacing w:after="0"/>
        <w:rPr>
          <w:rFonts w:asciiTheme="minorBidi" w:hAnsiTheme="minorBidi"/>
          <w:sz w:val="28"/>
          <w:szCs w:val="28"/>
        </w:rPr>
      </w:pPr>
      <w:r w:rsidRPr="00750429">
        <w:rPr>
          <w:rFonts w:asciiTheme="minorBidi" w:hAnsiTheme="minorBidi"/>
          <w:sz w:val="28"/>
          <w:szCs w:val="28"/>
          <w:rtl/>
        </w:rPr>
        <w:t>ورغم أن التقييد الغذائي قد يكون فعالاً في خفض تركيز فوسفور المصل [27]، فإن عدداً قليلاً من الدراسات فحص فعالية تقييد الفوسفور الغذائي على النتائج المهمة للمريض</w:t>
      </w:r>
      <w:r w:rsidRPr="00750429">
        <w:rPr>
          <w:rFonts w:asciiTheme="minorBidi" w:hAnsiTheme="minorBidi"/>
          <w:sz w:val="28"/>
          <w:szCs w:val="28"/>
        </w:rPr>
        <w:t>.</w:t>
      </w:r>
    </w:p>
    <w:p w14:paraId="28717C7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وفي تحليل لاحق</w:t>
      </w:r>
      <w:r w:rsidRPr="00750429">
        <w:rPr>
          <w:rFonts w:asciiTheme="minorBidi" w:hAnsiTheme="minorBidi"/>
          <w:sz w:val="28"/>
          <w:szCs w:val="28"/>
        </w:rPr>
        <w:t xml:space="preserve"> post hoc </w:t>
      </w:r>
      <w:r w:rsidRPr="00750429">
        <w:rPr>
          <w:rFonts w:asciiTheme="minorBidi" w:hAnsiTheme="minorBidi"/>
          <w:sz w:val="28"/>
          <w:szCs w:val="28"/>
          <w:rtl/>
        </w:rPr>
        <w:t>لبيانات دراسة</w:t>
      </w:r>
      <w:r w:rsidRPr="00750429">
        <w:rPr>
          <w:rFonts w:asciiTheme="minorBidi" w:hAnsiTheme="minorBidi"/>
          <w:sz w:val="28"/>
          <w:szCs w:val="28"/>
        </w:rPr>
        <w:t xml:space="preserve"> Hemodialysis </w:t>
      </w:r>
      <w:r w:rsidRPr="00750429">
        <w:rPr>
          <w:rFonts w:asciiTheme="minorBidi" w:hAnsiTheme="minorBidi"/>
          <w:sz w:val="28"/>
          <w:szCs w:val="28"/>
          <w:rtl/>
        </w:rPr>
        <w:t>‏</w:t>
      </w:r>
      <w:r w:rsidRPr="00750429">
        <w:rPr>
          <w:rFonts w:asciiTheme="minorBidi" w:hAnsiTheme="minorBidi"/>
          <w:sz w:val="28"/>
          <w:szCs w:val="28"/>
        </w:rPr>
        <w:t>(HEMO)</w:t>
      </w:r>
      <w:r w:rsidRPr="00750429">
        <w:rPr>
          <w:rFonts w:asciiTheme="minorBidi" w:hAnsiTheme="minorBidi"/>
          <w:sz w:val="28"/>
          <w:szCs w:val="28"/>
          <w:rtl/>
        </w:rPr>
        <w:t>، لم يرتبط التقييد الموصوف للفوسفور بتحسن البقاء لدى مرضى الغسيل الدموي</w:t>
      </w:r>
      <w:r w:rsidRPr="00750429">
        <w:rPr>
          <w:rFonts w:asciiTheme="minorBidi" w:hAnsiTheme="minorBidi"/>
          <w:sz w:val="28"/>
          <w:szCs w:val="28"/>
        </w:rPr>
        <w:t xml:space="preserve"> [34].</w:t>
      </w:r>
    </w:p>
    <w:p w14:paraId="24C07C8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بل وُجد في هذه الدراسة اتجاه تدريجي نحو بقاء أفضل كلما كان التقييد الموصوف لتناول الفوسفور أقل شدةً</w:t>
      </w:r>
      <w:r w:rsidRPr="00750429">
        <w:rPr>
          <w:rFonts w:asciiTheme="minorBidi" w:hAnsiTheme="minorBidi"/>
          <w:sz w:val="28"/>
          <w:szCs w:val="28"/>
        </w:rPr>
        <w:t>.</w:t>
      </w:r>
    </w:p>
    <w:p w14:paraId="07753F3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ومع ذلك، أُجريت دراسة</w:t>
      </w:r>
      <w:r w:rsidRPr="00750429">
        <w:rPr>
          <w:rFonts w:asciiTheme="minorBidi" w:hAnsiTheme="minorBidi"/>
          <w:sz w:val="28"/>
          <w:szCs w:val="28"/>
        </w:rPr>
        <w:t xml:space="preserve"> HEMO </w:t>
      </w:r>
      <w:r w:rsidRPr="00750429">
        <w:rPr>
          <w:rFonts w:asciiTheme="minorBidi" w:hAnsiTheme="minorBidi"/>
          <w:sz w:val="28"/>
          <w:szCs w:val="28"/>
          <w:rtl/>
        </w:rPr>
        <w:t>قبل إدراك أهمية المضافات الغذائية كمصدر للفوسفور؛ ولذلك ربما تحقق تقييد الفوسفور عن طريق تقييد أطعمة مفيدة من الناحية التغذوية</w:t>
      </w:r>
      <w:r w:rsidRPr="00750429">
        <w:rPr>
          <w:rFonts w:asciiTheme="minorBidi" w:hAnsiTheme="minorBidi"/>
          <w:sz w:val="28"/>
          <w:szCs w:val="28"/>
        </w:rPr>
        <w:t>.</w:t>
      </w:r>
    </w:p>
    <w:p w14:paraId="3806554E"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lastRenderedPageBreak/>
        <w:t>ويدعم هذه الإمكانية أن تقييد الفوسفور مال إلى الارتباط بمؤشرات تغذوية أسوأ وبحاجة أكبر ومستمرة إلى المكملات الغذائية في هذه الدراسة</w:t>
      </w:r>
      <w:r w:rsidRPr="00750429">
        <w:rPr>
          <w:rFonts w:asciiTheme="minorBidi" w:hAnsiTheme="minorBidi"/>
          <w:sz w:val="28"/>
          <w:szCs w:val="28"/>
        </w:rPr>
        <w:t>.</w:t>
      </w:r>
    </w:p>
    <w:p w14:paraId="3896D605" w14:textId="77777777" w:rsidR="00564C50" w:rsidRDefault="00564C50" w:rsidP="00750429">
      <w:pPr>
        <w:bidi/>
        <w:spacing w:after="0"/>
        <w:rPr>
          <w:rFonts w:asciiTheme="minorBidi" w:hAnsiTheme="minorBidi"/>
          <w:b/>
          <w:bCs/>
          <w:sz w:val="28"/>
          <w:szCs w:val="28"/>
          <w:rtl/>
        </w:rPr>
      </w:pPr>
    </w:p>
    <w:p w14:paraId="660359A4" w14:textId="3B39EF1C" w:rsidR="00750429" w:rsidRPr="00750429" w:rsidRDefault="00750429" w:rsidP="00564C50">
      <w:pPr>
        <w:bidi/>
        <w:spacing w:after="0"/>
        <w:rPr>
          <w:rFonts w:asciiTheme="minorBidi" w:hAnsiTheme="minorBidi"/>
          <w:b/>
          <w:bCs/>
          <w:sz w:val="28"/>
          <w:szCs w:val="28"/>
        </w:rPr>
      </w:pPr>
      <w:r w:rsidRPr="00750429">
        <w:rPr>
          <w:rFonts w:asciiTheme="minorBidi" w:hAnsiTheme="minorBidi"/>
          <w:b/>
          <w:bCs/>
          <w:sz w:val="28"/>
          <w:szCs w:val="28"/>
          <w:rtl/>
        </w:rPr>
        <w:t>تحسين نظام الغسيل</w:t>
      </w:r>
    </w:p>
    <w:p w14:paraId="2992CD4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إضافةً إلى تقييد الفوسفور الغذائي، نتأكد من أن مرضى الغسيل يحققون أهداف</w:t>
      </w:r>
      <w:r w:rsidRPr="00750429">
        <w:rPr>
          <w:rFonts w:asciiTheme="minorBidi" w:hAnsiTheme="minorBidi"/>
          <w:sz w:val="28"/>
          <w:szCs w:val="28"/>
        </w:rPr>
        <w:t xml:space="preserve"> Kt/V </w:t>
      </w:r>
      <w:r w:rsidRPr="00750429">
        <w:rPr>
          <w:rFonts w:asciiTheme="minorBidi" w:hAnsiTheme="minorBidi"/>
          <w:sz w:val="28"/>
          <w:szCs w:val="28"/>
          <w:rtl/>
        </w:rPr>
        <w:t>الموصى بها، من أجل تحسين إزالة الفوسفات خارج الجسم</w:t>
      </w:r>
      <w:r w:rsidRPr="00750429">
        <w:rPr>
          <w:rFonts w:asciiTheme="minorBidi" w:hAnsiTheme="minorBidi"/>
          <w:sz w:val="28"/>
          <w:szCs w:val="28"/>
        </w:rPr>
        <w:t>.</w:t>
      </w:r>
    </w:p>
    <w:p w14:paraId="0F637D1A" w14:textId="77777777" w:rsidR="00EC7877" w:rsidRDefault="00EC7877" w:rsidP="00750429">
      <w:pPr>
        <w:bidi/>
        <w:spacing w:after="0"/>
        <w:rPr>
          <w:rFonts w:asciiTheme="minorBidi" w:hAnsiTheme="minorBidi"/>
          <w:sz w:val="28"/>
          <w:szCs w:val="28"/>
          <w:rtl/>
        </w:rPr>
      </w:pPr>
    </w:p>
    <w:p w14:paraId="6E4F2C07" w14:textId="44230AD6" w:rsidR="00750429" w:rsidRPr="00750429" w:rsidRDefault="00750429" w:rsidP="00EC7877">
      <w:pPr>
        <w:bidi/>
        <w:spacing w:after="0"/>
        <w:rPr>
          <w:rFonts w:asciiTheme="minorBidi" w:hAnsiTheme="minorBidi"/>
          <w:sz w:val="28"/>
          <w:szCs w:val="28"/>
        </w:rPr>
      </w:pPr>
      <w:r w:rsidRPr="00750429">
        <w:rPr>
          <w:rFonts w:asciiTheme="minorBidi" w:hAnsiTheme="minorBidi"/>
          <w:sz w:val="28"/>
          <w:szCs w:val="28"/>
          <w:rtl/>
        </w:rPr>
        <w:t>ونظراً إلى محدودية قدرة الغسيل الدموي على إزالة الفوسفات — إذ تزيل جلسة الغسيل القياسية في المتوسط نحو 900</w:t>
      </w:r>
      <w:r w:rsidRPr="00750429">
        <w:rPr>
          <w:rFonts w:asciiTheme="minorBidi" w:hAnsiTheme="minorBidi"/>
          <w:sz w:val="28"/>
          <w:szCs w:val="28"/>
        </w:rPr>
        <w:t xml:space="preserve"> mg </w:t>
      </w:r>
      <w:r w:rsidRPr="00750429">
        <w:rPr>
          <w:rFonts w:asciiTheme="minorBidi" w:hAnsiTheme="minorBidi"/>
          <w:sz w:val="28"/>
          <w:szCs w:val="28"/>
          <w:rtl/>
        </w:rPr>
        <w:t>من الفوسفور — يجد معظم المرضى الخاضعين للغسيل الدموي التقليدي صعوبةً في زيادة مدة الغسيل بدرجة كافية لخفض فوسفور المصل</w:t>
      </w:r>
      <w:r w:rsidRPr="00750429">
        <w:rPr>
          <w:rFonts w:asciiTheme="minorBidi" w:hAnsiTheme="minorBidi"/>
          <w:sz w:val="28"/>
          <w:szCs w:val="28"/>
        </w:rPr>
        <w:t>.</w:t>
      </w:r>
    </w:p>
    <w:p w14:paraId="6E590D3D"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إضافةً إلى ذلك، لم يثبت أن الجرعات الأعلى من الغسيل التقليدي تحسن النتائج السريرية المهمة</w:t>
      </w:r>
      <w:r w:rsidRPr="00750429">
        <w:rPr>
          <w:rFonts w:asciiTheme="minorBidi" w:hAnsiTheme="minorBidi"/>
          <w:sz w:val="28"/>
          <w:szCs w:val="28"/>
        </w:rPr>
        <w:t>.</w:t>
      </w:r>
    </w:p>
    <w:p w14:paraId="695DD15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ومع ذلك، قد يدفع فرط فوسفات الدم بعض المرضى الخاضعين للغسيل الدموي التقليدي إلى التفكير في الغسيل الدموي اليومي أو الليلي، أي الغسيل المطول والذي يُجرى عادةً ليلاً</w:t>
      </w:r>
      <w:r w:rsidRPr="00750429">
        <w:rPr>
          <w:rFonts w:asciiTheme="minorBidi" w:hAnsiTheme="minorBidi"/>
          <w:sz w:val="28"/>
          <w:szCs w:val="28"/>
        </w:rPr>
        <w:t>.</w:t>
      </w:r>
    </w:p>
    <w:p w14:paraId="4F361F3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ورغم أن فرط فوسفات الدم نادراً ما يكون عاملاً حاسماً عند اختيار نمط الغسيل، فإن الغسيل الدموي المتكرر أو المطول يؤدي إلى إزالة كمية أكبر من الفوسفات ويمكنه خفض مستويات فوسفور المصل بدرجة ملحوظة</w:t>
      </w:r>
      <w:r w:rsidRPr="00750429">
        <w:rPr>
          <w:rFonts w:asciiTheme="minorBidi" w:hAnsiTheme="minorBidi"/>
          <w:sz w:val="28"/>
          <w:szCs w:val="28"/>
        </w:rPr>
        <w:t>.</w:t>
      </w:r>
    </w:p>
    <w:p w14:paraId="6A58B54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ولدى كثير من المرضى الخاضعين لغسيل دموي متكرر أو مطول يمكن ضبط فوسفور المصل دون استخدام رابطات الفوسفات</w:t>
      </w:r>
      <w:r w:rsidRPr="00750429">
        <w:rPr>
          <w:rFonts w:asciiTheme="minorBidi" w:hAnsiTheme="minorBidi"/>
          <w:sz w:val="28"/>
          <w:szCs w:val="28"/>
        </w:rPr>
        <w:t>.</w:t>
      </w:r>
    </w:p>
    <w:p w14:paraId="312DB7EB" w14:textId="77777777" w:rsidR="00EC7877" w:rsidRDefault="00EC7877" w:rsidP="00750429">
      <w:pPr>
        <w:bidi/>
        <w:spacing w:after="0"/>
        <w:rPr>
          <w:rFonts w:asciiTheme="minorBidi" w:hAnsiTheme="minorBidi"/>
          <w:b/>
          <w:bCs/>
          <w:sz w:val="28"/>
          <w:szCs w:val="28"/>
          <w:rtl/>
        </w:rPr>
      </w:pPr>
    </w:p>
    <w:p w14:paraId="682E7FDD" w14:textId="76C2FB40" w:rsidR="00750429" w:rsidRPr="00750429" w:rsidRDefault="00750429" w:rsidP="00EC7877">
      <w:pPr>
        <w:bidi/>
        <w:spacing w:after="0"/>
        <w:rPr>
          <w:rFonts w:asciiTheme="minorBidi" w:hAnsiTheme="minorBidi"/>
          <w:b/>
          <w:bCs/>
          <w:sz w:val="28"/>
          <w:szCs w:val="28"/>
        </w:rPr>
      </w:pPr>
      <w:r w:rsidRPr="00750429">
        <w:rPr>
          <w:rFonts w:asciiTheme="minorBidi" w:hAnsiTheme="minorBidi"/>
          <w:b/>
          <w:bCs/>
          <w:sz w:val="28"/>
          <w:szCs w:val="28"/>
          <w:rtl/>
        </w:rPr>
        <w:t>إضافة رابطات الفوسفات إذا لم يكن الفوسفور مضبوطاً</w:t>
      </w:r>
    </w:p>
    <w:p w14:paraId="5AEC27C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نضيف العلاج برابطات الفوسفات لدى المرضى الذين لا يكون التقييد الغذائي وحده كافياً لديهم</w:t>
      </w:r>
      <w:r w:rsidRPr="00750429">
        <w:rPr>
          <w:rFonts w:asciiTheme="minorBidi" w:hAnsiTheme="minorBidi"/>
          <w:sz w:val="28"/>
          <w:szCs w:val="28"/>
        </w:rPr>
        <w:t>.</w:t>
      </w:r>
    </w:p>
    <w:p w14:paraId="30BF367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ويكون اختيار نوع رابط الفوسفات متماثلاً لدى مرضى</w:t>
      </w:r>
      <w:r w:rsidRPr="00750429">
        <w:rPr>
          <w:rFonts w:asciiTheme="minorBidi" w:hAnsiTheme="minorBidi"/>
          <w:sz w:val="28"/>
          <w:szCs w:val="28"/>
        </w:rPr>
        <w:t xml:space="preserve"> CKD </w:t>
      </w:r>
      <w:r w:rsidRPr="00750429">
        <w:rPr>
          <w:rFonts w:asciiTheme="minorBidi" w:hAnsiTheme="minorBidi"/>
          <w:sz w:val="28"/>
          <w:szCs w:val="28"/>
          <w:rtl/>
        </w:rPr>
        <w:t>الخاضعين للغسيل وغير الخاضعين للغسيل، ويُناقش أدناه</w:t>
      </w:r>
      <w:r w:rsidRPr="00750429">
        <w:rPr>
          <w:rFonts w:asciiTheme="minorBidi" w:hAnsiTheme="minorBidi"/>
          <w:sz w:val="28"/>
          <w:szCs w:val="28"/>
        </w:rPr>
        <w:t>.</w:t>
      </w:r>
    </w:p>
    <w:p w14:paraId="017BA30A" w14:textId="77777777" w:rsidR="00EC7877" w:rsidRDefault="00EC7877" w:rsidP="00750429">
      <w:pPr>
        <w:bidi/>
        <w:spacing w:after="0"/>
        <w:rPr>
          <w:rFonts w:asciiTheme="minorBidi" w:hAnsiTheme="minorBidi"/>
          <w:b/>
          <w:bCs/>
          <w:sz w:val="28"/>
          <w:szCs w:val="28"/>
          <w:rtl/>
        </w:rPr>
      </w:pPr>
    </w:p>
    <w:p w14:paraId="32986086" w14:textId="41F57AFA" w:rsidR="00750429" w:rsidRPr="00750429" w:rsidRDefault="00750429" w:rsidP="00EC7877">
      <w:pPr>
        <w:bidi/>
        <w:spacing w:after="0"/>
        <w:rPr>
          <w:rFonts w:asciiTheme="minorBidi" w:hAnsiTheme="minorBidi"/>
          <w:b/>
          <w:bCs/>
          <w:sz w:val="28"/>
          <w:szCs w:val="28"/>
        </w:rPr>
      </w:pPr>
      <w:r w:rsidRPr="00750429">
        <w:rPr>
          <w:rFonts w:asciiTheme="minorBidi" w:hAnsiTheme="minorBidi"/>
          <w:b/>
          <w:bCs/>
          <w:sz w:val="28"/>
          <w:szCs w:val="28"/>
          <w:rtl/>
        </w:rPr>
        <w:t>اختيار رابط الفوسفات</w:t>
      </w:r>
    </w:p>
    <w:p w14:paraId="1ABBB57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تُصنَّف رابطات الفوسفات إلى رابطات محتوية على الكالسيوم ورابطات غير محتوية على الكالسيوم</w:t>
      </w:r>
      <w:r w:rsidRPr="00750429">
        <w:rPr>
          <w:rFonts w:asciiTheme="minorBidi" w:hAnsiTheme="minorBidi"/>
          <w:sz w:val="28"/>
          <w:szCs w:val="28"/>
        </w:rPr>
        <w:t>.</w:t>
      </w:r>
    </w:p>
    <w:p w14:paraId="2E2E812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ونحن نفضل عموماً الرابطات غير المحتوية على الكالسيوم، أما اختيار رابط فوسفات محدد فينبغي أن يعتمد على قدرة المريض على تحمل التكلفة، والآثار الجانبية، وتفضيلات المريض، مثل عدد الأقراص وما إذا كان يفضل المضغ أو البلع</w:t>
      </w:r>
      <w:r w:rsidRPr="00750429">
        <w:rPr>
          <w:rFonts w:asciiTheme="minorBidi" w:hAnsiTheme="minorBidi"/>
          <w:sz w:val="28"/>
          <w:szCs w:val="28"/>
        </w:rPr>
        <w:t>.</w:t>
      </w:r>
    </w:p>
    <w:p w14:paraId="491EBCD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وعند معايرة الجرعات بشكل مناسب ضمن مجالات الجرعات الموصى بها، تكون جميع رابطات الفوسفات متقاربة الفعالية في خفض الفوسفات</w:t>
      </w:r>
      <w:r w:rsidRPr="00750429">
        <w:rPr>
          <w:rFonts w:asciiTheme="minorBidi" w:hAnsiTheme="minorBidi"/>
          <w:sz w:val="28"/>
          <w:szCs w:val="28"/>
        </w:rPr>
        <w:t xml:space="preserve"> [22،35].</w:t>
      </w:r>
    </w:p>
    <w:p w14:paraId="17751A06" w14:textId="77777777" w:rsidR="00EC7877" w:rsidRDefault="00EC7877" w:rsidP="00750429">
      <w:pPr>
        <w:bidi/>
        <w:spacing w:after="0"/>
        <w:rPr>
          <w:rFonts w:asciiTheme="minorBidi" w:hAnsiTheme="minorBidi"/>
          <w:b/>
          <w:bCs/>
          <w:sz w:val="28"/>
          <w:szCs w:val="28"/>
          <w:rtl/>
        </w:rPr>
      </w:pPr>
    </w:p>
    <w:p w14:paraId="3B3E8879" w14:textId="7F2A5E6B" w:rsidR="00750429" w:rsidRPr="00750429" w:rsidRDefault="00750429" w:rsidP="00EC7877">
      <w:pPr>
        <w:bidi/>
        <w:spacing w:after="0"/>
        <w:rPr>
          <w:rFonts w:asciiTheme="minorBidi" w:hAnsiTheme="minorBidi"/>
          <w:b/>
          <w:bCs/>
          <w:sz w:val="28"/>
          <w:szCs w:val="28"/>
        </w:rPr>
      </w:pPr>
      <w:r w:rsidRPr="00750429">
        <w:rPr>
          <w:rFonts w:asciiTheme="minorBidi" w:hAnsiTheme="minorBidi"/>
          <w:b/>
          <w:bCs/>
          <w:sz w:val="28"/>
          <w:szCs w:val="28"/>
          <w:rtl/>
        </w:rPr>
        <w:t>تُفضَّل الرابطات غير المحتوية على الكالسيوم</w:t>
      </w:r>
    </w:p>
    <w:p w14:paraId="69066F0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بالنسبة إلى معظم مرضى</w:t>
      </w:r>
      <w:r w:rsidRPr="00750429">
        <w:rPr>
          <w:rFonts w:asciiTheme="minorBidi" w:hAnsiTheme="minorBidi"/>
          <w:sz w:val="28"/>
          <w:szCs w:val="28"/>
        </w:rPr>
        <w:t xml:space="preserve"> CKD </w:t>
      </w:r>
      <w:r w:rsidRPr="00750429">
        <w:rPr>
          <w:rFonts w:asciiTheme="minorBidi" w:hAnsiTheme="minorBidi"/>
          <w:sz w:val="28"/>
          <w:szCs w:val="28"/>
          <w:rtl/>
        </w:rPr>
        <w:t>الذين يعالَجون برابطات الفوسفات، نقترح استخدام رابطات غير محتوية على الكالسيوم بدلاً من الرابطات المحتوية على الكالسيوم</w:t>
      </w:r>
      <w:r w:rsidRPr="00750429">
        <w:rPr>
          <w:rFonts w:asciiTheme="minorBidi" w:hAnsiTheme="minorBidi"/>
          <w:sz w:val="28"/>
          <w:szCs w:val="28"/>
        </w:rPr>
        <w:t>.</w:t>
      </w:r>
    </w:p>
    <w:p w14:paraId="36DE876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تكون هناك استثناءات عندما لا تكون الرابطات غير المحتوية على الكالسيوم متاحةً أو ميسورة التكلفة، أو عندما يكون كالسيوم المصل منخفضاً ويكون</w:t>
      </w:r>
      <w:r w:rsidRPr="00750429">
        <w:rPr>
          <w:rFonts w:asciiTheme="minorBidi" w:hAnsiTheme="minorBidi"/>
          <w:sz w:val="28"/>
          <w:szCs w:val="28"/>
        </w:rPr>
        <w:t xml:space="preserve"> PTH </w:t>
      </w:r>
      <w:r w:rsidRPr="00750429">
        <w:rPr>
          <w:rFonts w:asciiTheme="minorBidi" w:hAnsiTheme="minorBidi"/>
          <w:sz w:val="28"/>
          <w:szCs w:val="28"/>
          <w:rtl/>
        </w:rPr>
        <w:t>مرتفعاً، كما لدى المرضى الذين يعالجون بالتزامن بمحاكيات الكالسيوم</w:t>
      </w:r>
      <w:r w:rsidRPr="00750429">
        <w:rPr>
          <w:rFonts w:asciiTheme="minorBidi" w:hAnsiTheme="minorBidi"/>
          <w:sz w:val="28"/>
          <w:szCs w:val="28"/>
        </w:rPr>
        <w:t xml:space="preserve"> (calcimimetics).</w:t>
      </w:r>
    </w:p>
    <w:p w14:paraId="11FC8FA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إلا أن كثيراً من الخبراء يرون وجوب تجنب الرابطات المحتوية على الكالسيوم لدى جميع المرضى</w:t>
      </w:r>
      <w:r w:rsidRPr="00750429">
        <w:rPr>
          <w:rFonts w:asciiTheme="minorBidi" w:hAnsiTheme="minorBidi"/>
          <w:sz w:val="28"/>
          <w:szCs w:val="28"/>
        </w:rPr>
        <w:t xml:space="preserve"> [20].</w:t>
      </w:r>
    </w:p>
    <w:p w14:paraId="3934FA9A" w14:textId="77777777" w:rsidR="00EC7877" w:rsidRDefault="00EC7877" w:rsidP="00750429">
      <w:pPr>
        <w:bidi/>
        <w:spacing w:after="0"/>
        <w:rPr>
          <w:rFonts w:asciiTheme="minorBidi" w:hAnsiTheme="minorBidi"/>
          <w:sz w:val="28"/>
          <w:szCs w:val="28"/>
          <w:rtl/>
        </w:rPr>
      </w:pPr>
    </w:p>
    <w:p w14:paraId="211F8D00" w14:textId="02740D75" w:rsidR="00750429" w:rsidRPr="00750429" w:rsidRDefault="00750429" w:rsidP="00EC7877">
      <w:pPr>
        <w:bidi/>
        <w:spacing w:after="0"/>
        <w:rPr>
          <w:rFonts w:asciiTheme="minorBidi" w:hAnsiTheme="minorBidi"/>
          <w:sz w:val="28"/>
          <w:szCs w:val="28"/>
        </w:rPr>
      </w:pPr>
      <w:r w:rsidRPr="00750429">
        <w:rPr>
          <w:rFonts w:asciiTheme="minorBidi" w:hAnsiTheme="minorBidi"/>
          <w:sz w:val="28"/>
          <w:szCs w:val="28"/>
          <w:rtl/>
        </w:rPr>
        <w:lastRenderedPageBreak/>
        <w:t>تشمل أهم الرابطات غير المحتوية على الكالسيوم</w:t>
      </w:r>
      <w:r w:rsidRPr="00750429">
        <w:rPr>
          <w:rFonts w:asciiTheme="minorBidi" w:hAnsiTheme="minorBidi"/>
          <w:sz w:val="28"/>
          <w:szCs w:val="28"/>
        </w:rPr>
        <w:t>:</w:t>
      </w:r>
    </w:p>
    <w:p w14:paraId="52710D98" w14:textId="77777777" w:rsidR="00750429" w:rsidRPr="00750429" w:rsidRDefault="00750429" w:rsidP="00750429">
      <w:pPr>
        <w:numPr>
          <w:ilvl w:val="0"/>
          <w:numId w:val="1"/>
        </w:numPr>
        <w:bidi/>
        <w:spacing w:after="0"/>
        <w:rPr>
          <w:rFonts w:asciiTheme="minorBidi" w:hAnsiTheme="minorBidi"/>
          <w:sz w:val="28"/>
          <w:szCs w:val="28"/>
        </w:rPr>
      </w:pPr>
      <w:r w:rsidRPr="00750429">
        <w:rPr>
          <w:rFonts w:asciiTheme="minorBidi" w:hAnsiTheme="minorBidi"/>
          <w:sz w:val="28"/>
          <w:szCs w:val="28"/>
          <w:rtl/>
        </w:rPr>
        <w:t>سيفيلامير</w:t>
      </w:r>
      <w:r w:rsidRPr="00750429">
        <w:rPr>
          <w:rFonts w:asciiTheme="minorBidi" w:hAnsiTheme="minorBidi"/>
          <w:sz w:val="28"/>
          <w:szCs w:val="28"/>
        </w:rPr>
        <w:t xml:space="preserve"> (Sevelamer)</w:t>
      </w:r>
    </w:p>
    <w:p w14:paraId="56235CD4" w14:textId="77777777" w:rsidR="00750429" w:rsidRPr="00750429" w:rsidRDefault="00750429" w:rsidP="00750429">
      <w:pPr>
        <w:numPr>
          <w:ilvl w:val="0"/>
          <w:numId w:val="1"/>
        </w:numPr>
        <w:bidi/>
        <w:spacing w:after="0"/>
        <w:rPr>
          <w:rFonts w:asciiTheme="minorBidi" w:hAnsiTheme="minorBidi"/>
          <w:sz w:val="28"/>
          <w:szCs w:val="28"/>
        </w:rPr>
      </w:pPr>
      <w:r w:rsidRPr="00750429">
        <w:rPr>
          <w:rFonts w:asciiTheme="minorBidi" w:hAnsiTheme="minorBidi"/>
          <w:sz w:val="28"/>
          <w:szCs w:val="28"/>
          <w:rtl/>
        </w:rPr>
        <w:t>لانثانوم</w:t>
      </w:r>
      <w:r w:rsidRPr="00750429">
        <w:rPr>
          <w:rFonts w:asciiTheme="minorBidi" w:hAnsiTheme="minorBidi"/>
          <w:sz w:val="28"/>
          <w:szCs w:val="28"/>
        </w:rPr>
        <w:t xml:space="preserve"> (Lanthanum)</w:t>
      </w:r>
    </w:p>
    <w:p w14:paraId="25AD1E5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وتشمل الرابطات الأخرى غير المحتوية على الكالسيوم</w:t>
      </w:r>
      <w:r w:rsidRPr="00750429">
        <w:rPr>
          <w:rFonts w:asciiTheme="minorBidi" w:hAnsiTheme="minorBidi"/>
          <w:sz w:val="28"/>
          <w:szCs w:val="28"/>
        </w:rPr>
        <w:t>:</w:t>
      </w:r>
    </w:p>
    <w:p w14:paraId="7D71A39A" w14:textId="77777777" w:rsidR="00750429" w:rsidRPr="00750429" w:rsidRDefault="00750429" w:rsidP="00750429">
      <w:pPr>
        <w:numPr>
          <w:ilvl w:val="0"/>
          <w:numId w:val="2"/>
        </w:numPr>
        <w:bidi/>
        <w:spacing w:after="0"/>
        <w:rPr>
          <w:rFonts w:asciiTheme="minorBidi" w:hAnsiTheme="minorBidi"/>
          <w:sz w:val="28"/>
          <w:szCs w:val="28"/>
        </w:rPr>
      </w:pPr>
      <w:r w:rsidRPr="00750429">
        <w:rPr>
          <w:rFonts w:asciiTheme="minorBidi" w:hAnsiTheme="minorBidi"/>
          <w:sz w:val="28"/>
          <w:szCs w:val="28"/>
          <w:rtl/>
        </w:rPr>
        <w:t>سترات الحديديك</w:t>
      </w:r>
      <w:r w:rsidRPr="00750429">
        <w:rPr>
          <w:rFonts w:asciiTheme="minorBidi" w:hAnsiTheme="minorBidi"/>
          <w:sz w:val="28"/>
          <w:szCs w:val="28"/>
        </w:rPr>
        <w:t xml:space="preserve"> (Ferric citrate)</w:t>
      </w:r>
    </w:p>
    <w:p w14:paraId="0B9E4D66" w14:textId="77777777" w:rsidR="00750429" w:rsidRPr="00750429" w:rsidRDefault="00750429" w:rsidP="00750429">
      <w:pPr>
        <w:numPr>
          <w:ilvl w:val="0"/>
          <w:numId w:val="2"/>
        </w:numPr>
        <w:bidi/>
        <w:spacing w:after="0"/>
        <w:rPr>
          <w:rFonts w:asciiTheme="minorBidi" w:hAnsiTheme="minorBidi"/>
          <w:sz w:val="28"/>
          <w:szCs w:val="28"/>
        </w:rPr>
      </w:pPr>
      <w:r w:rsidRPr="00750429">
        <w:rPr>
          <w:rFonts w:asciiTheme="minorBidi" w:hAnsiTheme="minorBidi"/>
          <w:sz w:val="28"/>
          <w:szCs w:val="28"/>
          <w:rtl/>
        </w:rPr>
        <w:t>أوكسي هيدروكسيد الحديد السكروزي</w:t>
      </w:r>
      <w:r w:rsidRPr="00750429">
        <w:rPr>
          <w:rFonts w:asciiTheme="minorBidi" w:hAnsiTheme="minorBidi"/>
          <w:sz w:val="28"/>
          <w:szCs w:val="28"/>
        </w:rPr>
        <w:t xml:space="preserve"> (Sucroferric oxyhydroxide)</w:t>
      </w:r>
    </w:p>
    <w:p w14:paraId="530BFEA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أما رابطات الفوسفات المحتوية على الكالسيوم فتشمل</w:t>
      </w:r>
      <w:r w:rsidRPr="00750429">
        <w:rPr>
          <w:rFonts w:asciiTheme="minorBidi" w:hAnsiTheme="minorBidi"/>
          <w:sz w:val="28"/>
          <w:szCs w:val="28"/>
        </w:rPr>
        <w:t>:</w:t>
      </w:r>
    </w:p>
    <w:p w14:paraId="0E35E44E" w14:textId="77777777" w:rsidR="00750429" w:rsidRPr="00750429" w:rsidRDefault="00750429" w:rsidP="00750429">
      <w:pPr>
        <w:numPr>
          <w:ilvl w:val="0"/>
          <w:numId w:val="3"/>
        </w:numPr>
        <w:bidi/>
        <w:spacing w:after="0"/>
        <w:rPr>
          <w:rFonts w:asciiTheme="minorBidi" w:hAnsiTheme="minorBidi"/>
          <w:sz w:val="28"/>
          <w:szCs w:val="28"/>
        </w:rPr>
      </w:pPr>
      <w:r w:rsidRPr="00750429">
        <w:rPr>
          <w:rFonts w:asciiTheme="minorBidi" w:hAnsiTheme="minorBidi"/>
          <w:sz w:val="28"/>
          <w:szCs w:val="28"/>
          <w:rtl/>
        </w:rPr>
        <w:t>كربونات الكالسيوم</w:t>
      </w:r>
      <w:r w:rsidRPr="00750429">
        <w:rPr>
          <w:rFonts w:asciiTheme="minorBidi" w:hAnsiTheme="minorBidi"/>
          <w:sz w:val="28"/>
          <w:szCs w:val="28"/>
        </w:rPr>
        <w:t xml:space="preserve"> (Calcium carbonate)</w:t>
      </w:r>
    </w:p>
    <w:p w14:paraId="44843351" w14:textId="77777777" w:rsidR="00750429" w:rsidRPr="00750429" w:rsidRDefault="00750429" w:rsidP="00750429">
      <w:pPr>
        <w:numPr>
          <w:ilvl w:val="0"/>
          <w:numId w:val="3"/>
        </w:numPr>
        <w:bidi/>
        <w:spacing w:after="0"/>
        <w:rPr>
          <w:rFonts w:asciiTheme="minorBidi" w:hAnsiTheme="minorBidi"/>
          <w:sz w:val="28"/>
          <w:szCs w:val="28"/>
        </w:rPr>
      </w:pPr>
      <w:r w:rsidRPr="00750429">
        <w:rPr>
          <w:rFonts w:asciiTheme="minorBidi" w:hAnsiTheme="minorBidi"/>
          <w:sz w:val="28"/>
          <w:szCs w:val="28"/>
          <w:rtl/>
        </w:rPr>
        <w:t>أسيتات الكالسيوم</w:t>
      </w:r>
      <w:r w:rsidRPr="00750429">
        <w:rPr>
          <w:rFonts w:asciiTheme="minorBidi" w:hAnsiTheme="minorBidi"/>
          <w:sz w:val="28"/>
          <w:szCs w:val="28"/>
        </w:rPr>
        <w:t xml:space="preserve"> (Calcium acetate)</w:t>
      </w:r>
    </w:p>
    <w:p w14:paraId="1EB17FF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ويُناقش استخدام هذه العوامل بالتفصيل أدناه</w:t>
      </w:r>
      <w:r w:rsidRPr="00750429">
        <w:rPr>
          <w:rFonts w:asciiTheme="minorBidi" w:hAnsiTheme="minorBidi"/>
          <w:sz w:val="28"/>
          <w:szCs w:val="28"/>
        </w:rPr>
        <w:t>.</w:t>
      </w:r>
    </w:p>
    <w:p w14:paraId="562C51C0" w14:textId="77777777" w:rsidR="00EC7877" w:rsidRDefault="00EC7877" w:rsidP="00750429">
      <w:pPr>
        <w:bidi/>
        <w:spacing w:after="0"/>
        <w:rPr>
          <w:rFonts w:asciiTheme="minorBidi" w:hAnsiTheme="minorBidi"/>
          <w:b/>
          <w:bCs/>
          <w:sz w:val="28"/>
          <w:szCs w:val="28"/>
          <w:rtl/>
        </w:rPr>
      </w:pPr>
    </w:p>
    <w:p w14:paraId="1A881DC0" w14:textId="407EA929" w:rsidR="00750429" w:rsidRPr="00750429" w:rsidRDefault="00750429" w:rsidP="00EC7877">
      <w:pPr>
        <w:bidi/>
        <w:spacing w:after="0"/>
        <w:rPr>
          <w:rFonts w:asciiTheme="minorBidi" w:hAnsiTheme="minorBidi"/>
          <w:b/>
          <w:bCs/>
          <w:sz w:val="28"/>
          <w:szCs w:val="28"/>
        </w:rPr>
      </w:pPr>
      <w:r w:rsidRPr="00750429">
        <w:rPr>
          <w:rFonts w:asciiTheme="minorBidi" w:hAnsiTheme="minorBidi"/>
          <w:b/>
          <w:bCs/>
          <w:sz w:val="28"/>
          <w:szCs w:val="28"/>
          <w:rtl/>
        </w:rPr>
        <w:t>الأدلة الداعمة للرابطات غير المحتوية على الكالسيوم</w:t>
      </w:r>
    </w:p>
    <w:p w14:paraId="72EA067E"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أشارت عدة تجارب وتحليلات تلوية إلى أن رابطات الفوسفات غير المحتوية على الكالسيوم، مقارنةً بالرابطات المحتوية على الكالسيوم، تقلل الوفيات لدى مرضى</w:t>
      </w:r>
      <w:r w:rsidRPr="00750429">
        <w:rPr>
          <w:rFonts w:asciiTheme="minorBidi" w:hAnsiTheme="minorBidi"/>
          <w:sz w:val="28"/>
          <w:szCs w:val="28"/>
        </w:rPr>
        <w:t xml:space="preserve"> CKD [36–48].</w:t>
      </w:r>
    </w:p>
    <w:p w14:paraId="17081560" w14:textId="1E99514A"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أظهر تحليل لـ11 تجربة عشوائية مفتوحة التسمية شملت 4622 مريضاً انخفاض الوفيات الناجمة عن جميع الأسباب لدى المرضى الذين وُزّعوا عشوائياً لتلقي رابطات غير قائمة على الكالسيوم — سيفيلامير في 10 دراسات شملت 3268 مريضاً، أو لانثانوم في دراسة واحدة شملت 1354 مريضاً — مقارنةً بالرابطات القائمة على الكالسيوم: 18.9% مقابل 21.6%؛ الخطر النسبي</w:t>
      </w:r>
      <w:r w:rsidRPr="00750429">
        <w:rPr>
          <w:rFonts w:asciiTheme="minorBidi" w:hAnsiTheme="minorBidi"/>
          <w:sz w:val="28"/>
          <w:szCs w:val="28"/>
        </w:rPr>
        <w:t xml:space="preserve"> RR </w:t>
      </w:r>
      <w:r w:rsidRPr="00750429">
        <w:rPr>
          <w:rFonts w:asciiTheme="minorBidi" w:hAnsiTheme="minorBidi"/>
          <w:sz w:val="28"/>
          <w:szCs w:val="28"/>
          <w:rtl/>
        </w:rPr>
        <w:t>‏0.78، وفاصل الثقة 95% ‏0.61–0.98</w:t>
      </w:r>
      <w:r w:rsidRPr="00750429">
        <w:rPr>
          <w:rFonts w:asciiTheme="minorBidi" w:hAnsiTheme="minorBidi"/>
          <w:sz w:val="28"/>
          <w:szCs w:val="28"/>
        </w:rPr>
        <w:t xml:space="preserve"> [49].</w:t>
      </w:r>
    </w:p>
    <w:p w14:paraId="2C28B242" w14:textId="7AD04CC9"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وكانت نتائج هذا التحليل مدفوعةً إلى حد كبير بالدراسة التي استخدمت كربونات اللانثانوم، وليس السيفيلامير</w:t>
      </w:r>
      <w:r w:rsidRPr="00750429">
        <w:rPr>
          <w:rFonts w:asciiTheme="minorBidi" w:hAnsiTheme="minorBidi"/>
          <w:sz w:val="28"/>
          <w:szCs w:val="28"/>
        </w:rPr>
        <w:t>.</w:t>
      </w:r>
    </w:p>
    <w:p w14:paraId="304B522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وأظهر تحليل مرضى الغسيل ومرضى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 انخفاضاً مماثلاً في الوفيات</w:t>
      </w:r>
      <w:r w:rsidRPr="00750429">
        <w:rPr>
          <w:rFonts w:asciiTheme="minorBidi" w:hAnsiTheme="minorBidi"/>
          <w:sz w:val="28"/>
          <w:szCs w:val="28"/>
        </w:rPr>
        <w:t>.</w:t>
      </w:r>
    </w:p>
    <w:p w14:paraId="549BD3F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وكانت معظم الدراسات في هذا التحليل التلوي محدودةً بمدة 24 شهراً؛ وأظهر تحليل الدراسات ذات المتابعة لمدة 36 و42 شهراً انخفاضات مماثلة في الوفيات، إلا أن هذه الانخفاضات لم تكن ذات دلالة إحصائية</w:t>
      </w:r>
      <w:r w:rsidRPr="00750429">
        <w:rPr>
          <w:rFonts w:asciiTheme="minorBidi" w:hAnsiTheme="minorBidi"/>
          <w:sz w:val="28"/>
          <w:szCs w:val="28"/>
        </w:rPr>
        <w:t xml:space="preserve"> [49].</w:t>
      </w:r>
    </w:p>
    <w:p w14:paraId="791FD29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ولم يبحث هذا التحليل الوفيات القلبية الوعائية</w:t>
      </w:r>
      <w:r w:rsidRPr="00750429">
        <w:rPr>
          <w:rFonts w:asciiTheme="minorBidi" w:hAnsiTheme="minorBidi"/>
          <w:sz w:val="28"/>
          <w:szCs w:val="28"/>
        </w:rPr>
        <w:t>.</w:t>
      </w:r>
    </w:p>
    <w:p w14:paraId="487D3CD6" w14:textId="77777777" w:rsidR="00395B73" w:rsidRDefault="00395B73" w:rsidP="00750429">
      <w:pPr>
        <w:bidi/>
        <w:spacing w:after="0"/>
        <w:rPr>
          <w:rFonts w:asciiTheme="minorBidi" w:hAnsiTheme="minorBidi"/>
          <w:sz w:val="28"/>
          <w:szCs w:val="28"/>
          <w:rtl/>
        </w:rPr>
      </w:pPr>
    </w:p>
    <w:p w14:paraId="54DE0015" w14:textId="0793CA64" w:rsidR="00750429" w:rsidRPr="00750429" w:rsidRDefault="00750429" w:rsidP="00395B73">
      <w:pPr>
        <w:bidi/>
        <w:spacing w:after="0"/>
        <w:rPr>
          <w:rFonts w:asciiTheme="minorBidi" w:hAnsiTheme="minorBidi"/>
          <w:sz w:val="28"/>
          <w:szCs w:val="28"/>
        </w:rPr>
      </w:pPr>
      <w:r w:rsidRPr="00750429">
        <w:rPr>
          <w:rFonts w:asciiTheme="minorBidi" w:hAnsiTheme="minorBidi"/>
          <w:sz w:val="28"/>
          <w:szCs w:val="28"/>
          <w:rtl/>
        </w:rPr>
        <w:t>كما أظهر تحليل ثانٍ شمل 13 دراسة و3799 مريضاً انخفاضاً في الوفيات الناجمة عن جميع الأسباب مع السيفيلامير مقارنةً بالرابطات القائمة على الكالسيوم: 17.5% مقابل 23.3%؛</w:t>
      </w:r>
      <w:r w:rsidRPr="00750429">
        <w:rPr>
          <w:rFonts w:asciiTheme="minorBidi" w:hAnsiTheme="minorBidi"/>
          <w:sz w:val="28"/>
          <w:szCs w:val="28"/>
        </w:rPr>
        <w:t xml:space="preserve"> RR </w:t>
      </w:r>
      <w:r w:rsidRPr="00750429">
        <w:rPr>
          <w:rFonts w:asciiTheme="minorBidi" w:hAnsiTheme="minorBidi"/>
          <w:sz w:val="28"/>
          <w:szCs w:val="28"/>
          <w:rtl/>
        </w:rPr>
        <w:t>‏0.54، وفاصل الثقة 95% ‏0.32–0.93</w:t>
      </w:r>
      <w:r w:rsidRPr="00750429">
        <w:rPr>
          <w:rFonts w:asciiTheme="minorBidi" w:hAnsiTheme="minorBidi"/>
          <w:sz w:val="28"/>
          <w:szCs w:val="28"/>
        </w:rPr>
        <w:t xml:space="preserve"> [50].</w:t>
      </w:r>
    </w:p>
    <w:p w14:paraId="63B605C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 xml:space="preserve">أما الانخفاض المبلَّغ عنه في الوفيات القلبية الوعائية فلم يكن ذا دلالة إحصائية: أربع دراسات، </w:t>
      </w:r>
      <w:r w:rsidRPr="00750429">
        <w:rPr>
          <w:rFonts w:asciiTheme="minorBidi" w:hAnsiTheme="minorBidi"/>
          <w:sz w:val="28"/>
          <w:szCs w:val="28"/>
        </w:rPr>
        <w:t>n=2712</w:t>
      </w:r>
      <w:r w:rsidRPr="00750429">
        <w:rPr>
          <w:rFonts w:asciiTheme="minorBidi" w:hAnsiTheme="minorBidi"/>
          <w:sz w:val="28"/>
          <w:szCs w:val="28"/>
          <w:rtl/>
        </w:rPr>
        <w:t>،‏</w:t>
      </w:r>
      <w:r w:rsidRPr="00750429">
        <w:rPr>
          <w:rFonts w:asciiTheme="minorBidi" w:hAnsiTheme="minorBidi"/>
          <w:sz w:val="28"/>
          <w:szCs w:val="28"/>
        </w:rPr>
        <w:t xml:space="preserve"> RR </w:t>
      </w:r>
      <w:r w:rsidRPr="00750429">
        <w:rPr>
          <w:rFonts w:asciiTheme="minorBidi" w:hAnsiTheme="minorBidi"/>
          <w:sz w:val="28"/>
          <w:szCs w:val="28"/>
          <w:rtl/>
        </w:rPr>
        <w:t>‏0.33، وفاصل الثقة 95% ‏0.07–1.64</w:t>
      </w:r>
      <w:r w:rsidRPr="00750429">
        <w:rPr>
          <w:rFonts w:asciiTheme="minorBidi" w:hAnsiTheme="minorBidi"/>
          <w:sz w:val="28"/>
          <w:szCs w:val="28"/>
        </w:rPr>
        <w:t>.</w:t>
      </w:r>
    </w:p>
    <w:p w14:paraId="5907E56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وكان لدى المرضى الذين تلقوا السيفيلامير مستويات أقل من الكوليسترول وكوليسترول البروتين الدهني منخفض الكثافة</w:t>
      </w:r>
      <w:r w:rsidRPr="00750429">
        <w:rPr>
          <w:rFonts w:asciiTheme="minorBidi" w:hAnsiTheme="minorBidi"/>
          <w:sz w:val="28"/>
          <w:szCs w:val="28"/>
        </w:rPr>
        <w:t xml:space="preserve"> LDL </w:t>
      </w:r>
      <w:r w:rsidRPr="00750429">
        <w:rPr>
          <w:rFonts w:asciiTheme="minorBidi" w:hAnsiTheme="minorBidi"/>
          <w:sz w:val="28"/>
          <w:szCs w:val="28"/>
          <w:rtl/>
        </w:rPr>
        <w:t>والكالسيوم، إضافةً إلى انخفاض خطر فرط كالسيوم الدم</w:t>
      </w:r>
      <w:r w:rsidRPr="00750429">
        <w:rPr>
          <w:rFonts w:asciiTheme="minorBidi" w:hAnsiTheme="minorBidi"/>
          <w:sz w:val="28"/>
          <w:szCs w:val="28"/>
        </w:rPr>
        <w:t>.</w:t>
      </w:r>
    </w:p>
    <w:p w14:paraId="1EF878E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ولم يكن هناك اختلاف بين المجموعتين في فوسفور المصل</w:t>
      </w:r>
      <w:r w:rsidRPr="00750429">
        <w:rPr>
          <w:rFonts w:asciiTheme="minorBidi" w:hAnsiTheme="minorBidi"/>
          <w:sz w:val="28"/>
          <w:szCs w:val="28"/>
        </w:rPr>
        <w:t>.</w:t>
      </w:r>
    </w:p>
    <w:p w14:paraId="3D4349F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وكان هناك تغاير كبير بين الدراسات</w:t>
      </w:r>
      <w:r w:rsidRPr="00750429">
        <w:rPr>
          <w:rFonts w:asciiTheme="minorBidi" w:hAnsiTheme="minorBidi"/>
          <w:sz w:val="28"/>
          <w:szCs w:val="28"/>
        </w:rPr>
        <w:t>.</w:t>
      </w:r>
    </w:p>
    <w:p w14:paraId="578D846B" w14:textId="77777777" w:rsidR="00395B73" w:rsidRDefault="00395B73" w:rsidP="00750429">
      <w:pPr>
        <w:bidi/>
        <w:spacing w:after="0"/>
        <w:rPr>
          <w:rFonts w:asciiTheme="minorBidi" w:hAnsiTheme="minorBidi"/>
          <w:sz w:val="28"/>
          <w:szCs w:val="28"/>
          <w:rtl/>
        </w:rPr>
      </w:pPr>
    </w:p>
    <w:p w14:paraId="5979D2A9" w14:textId="4BC82057" w:rsidR="00750429" w:rsidRPr="00750429" w:rsidRDefault="00750429" w:rsidP="00395B73">
      <w:pPr>
        <w:bidi/>
        <w:spacing w:after="0"/>
        <w:rPr>
          <w:rFonts w:asciiTheme="minorBidi" w:hAnsiTheme="minorBidi"/>
          <w:sz w:val="28"/>
          <w:szCs w:val="28"/>
        </w:rPr>
      </w:pPr>
      <w:r w:rsidRPr="00750429">
        <w:rPr>
          <w:rFonts w:asciiTheme="minorBidi" w:hAnsiTheme="minorBidi"/>
          <w:sz w:val="28"/>
          <w:szCs w:val="28"/>
          <w:rtl/>
        </w:rPr>
        <w:t>ومع ذلك، أفادت دراسات لاحقة لدى مرضى الغسيل قارنت الرابطات غير المحتوية على الكالسيوم بالرابطات المحتوية عليه بمعدلات متشابهة من الأحداث القلبية الوعائية والوفيات الناجمة عن جميع الأسباب في المجموعتين</w:t>
      </w:r>
      <w:r w:rsidRPr="00750429">
        <w:rPr>
          <w:rFonts w:asciiTheme="minorBidi" w:hAnsiTheme="minorBidi"/>
          <w:sz w:val="28"/>
          <w:szCs w:val="28"/>
        </w:rPr>
        <w:t xml:space="preserve"> [51،52].</w:t>
      </w:r>
    </w:p>
    <w:p w14:paraId="31938B3E" w14:textId="516EA41C"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lastRenderedPageBreak/>
        <w:t>وبالإضافة إلى التأثيرات المحتملة على الوفيات، ترتبط الرابطات المحتوية على الكالسيوم — بخلاف الرابطات غير المحتوية عليه — بفرط كالسيوم الدم ومرض العظام عديم الديناميكية</w:t>
      </w:r>
      <w:r w:rsidR="00395B73">
        <w:rPr>
          <w:rFonts w:asciiTheme="minorBidi" w:hAnsiTheme="minorBidi" w:hint="cs"/>
          <w:sz w:val="28"/>
          <w:szCs w:val="28"/>
          <w:rtl/>
        </w:rPr>
        <w:t xml:space="preserve"> </w:t>
      </w:r>
      <w:r w:rsidR="00395B73">
        <w:rPr>
          <w:rFonts w:asciiTheme="minorBidi" w:hAnsiTheme="minorBidi"/>
          <w:sz w:val="28"/>
          <w:szCs w:val="28"/>
        </w:rPr>
        <w:t>adynamic bone disease</w:t>
      </w:r>
      <w:r w:rsidRPr="00750429">
        <w:rPr>
          <w:rFonts w:asciiTheme="minorBidi" w:hAnsiTheme="minorBidi"/>
          <w:sz w:val="28"/>
          <w:szCs w:val="28"/>
          <w:rtl/>
        </w:rPr>
        <w:t xml:space="preserve"> والتكلس الوعائي، وجميعها قد تؤدي إلى زيادة المراضة</w:t>
      </w:r>
      <w:r w:rsidRPr="00750429">
        <w:rPr>
          <w:rFonts w:asciiTheme="minorBidi" w:hAnsiTheme="minorBidi"/>
          <w:sz w:val="28"/>
          <w:szCs w:val="28"/>
        </w:rPr>
        <w:t xml:space="preserve"> [36،38،40،41،50،53،54].</w:t>
      </w:r>
    </w:p>
    <w:p w14:paraId="71589783" w14:textId="77777777" w:rsidR="00395B73" w:rsidRDefault="00395B73" w:rsidP="00750429">
      <w:pPr>
        <w:bidi/>
        <w:spacing w:after="0"/>
        <w:rPr>
          <w:rFonts w:asciiTheme="minorBidi" w:hAnsiTheme="minorBidi"/>
          <w:b/>
          <w:bCs/>
          <w:sz w:val="28"/>
          <w:szCs w:val="28"/>
        </w:rPr>
      </w:pPr>
    </w:p>
    <w:p w14:paraId="045187F1" w14:textId="1C9A9526" w:rsidR="00750429" w:rsidRPr="00750429" w:rsidRDefault="00750429" w:rsidP="00395B73">
      <w:pPr>
        <w:bidi/>
        <w:spacing w:after="0"/>
        <w:rPr>
          <w:rFonts w:asciiTheme="minorBidi" w:hAnsiTheme="minorBidi"/>
          <w:b/>
          <w:bCs/>
          <w:sz w:val="28"/>
          <w:szCs w:val="28"/>
        </w:rPr>
      </w:pPr>
      <w:r w:rsidRPr="00750429">
        <w:rPr>
          <w:rFonts w:asciiTheme="minorBidi" w:hAnsiTheme="minorBidi"/>
          <w:b/>
          <w:bCs/>
          <w:sz w:val="28"/>
          <w:szCs w:val="28"/>
          <w:rtl/>
        </w:rPr>
        <w:t>الرابطات المحتوية على الكالسيوم وتوازن الكالسيوم</w:t>
      </w:r>
    </w:p>
    <w:p w14:paraId="46D8E7C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قد يؤدي استخدام الرابطات المحتوية على الكالسيوم إلى توازن إيجابي للكالسيوم، وبالتالي زيادة التكلس الوعائي</w:t>
      </w:r>
      <w:r w:rsidRPr="00750429">
        <w:rPr>
          <w:rFonts w:asciiTheme="minorBidi" w:hAnsiTheme="minorBidi"/>
          <w:sz w:val="28"/>
          <w:szCs w:val="28"/>
        </w:rPr>
        <w:t>.</w:t>
      </w:r>
    </w:p>
    <w:p w14:paraId="0A4115E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ونظراً إلى أن المدخول الغذائي الطبيعي من الكالسيوم يبلغ نحو 1000</w:t>
      </w:r>
      <w:r w:rsidRPr="00750429">
        <w:rPr>
          <w:rFonts w:asciiTheme="minorBidi" w:hAnsiTheme="minorBidi"/>
          <w:sz w:val="28"/>
          <w:szCs w:val="28"/>
        </w:rPr>
        <w:t xml:space="preserve"> mg </w:t>
      </w:r>
      <w:r w:rsidRPr="00750429">
        <w:rPr>
          <w:rFonts w:asciiTheme="minorBidi" w:hAnsiTheme="minorBidi"/>
          <w:sz w:val="28"/>
          <w:szCs w:val="28"/>
          <w:rtl/>
        </w:rPr>
        <w:t>يومياً، فإن وصف 1500</w:t>
      </w:r>
      <w:r w:rsidRPr="00750429">
        <w:rPr>
          <w:rFonts w:asciiTheme="minorBidi" w:hAnsiTheme="minorBidi"/>
          <w:sz w:val="28"/>
          <w:szCs w:val="28"/>
        </w:rPr>
        <w:t xml:space="preserve"> mg </w:t>
      </w:r>
      <w:r w:rsidRPr="00750429">
        <w:rPr>
          <w:rFonts w:asciiTheme="minorBidi" w:hAnsiTheme="minorBidi"/>
          <w:sz w:val="28"/>
          <w:szCs w:val="28"/>
          <w:rtl/>
        </w:rPr>
        <w:t>يومياً من الكالسيوم العنصري — أي كربونات الكالسيوم 1250</w:t>
      </w:r>
      <w:r w:rsidRPr="00750429">
        <w:rPr>
          <w:rFonts w:asciiTheme="minorBidi" w:hAnsiTheme="minorBidi"/>
          <w:sz w:val="28"/>
          <w:szCs w:val="28"/>
        </w:rPr>
        <w:t xml:space="preserve"> mg </w:t>
      </w:r>
      <w:r w:rsidRPr="00750429">
        <w:rPr>
          <w:rFonts w:asciiTheme="minorBidi" w:hAnsiTheme="minorBidi"/>
          <w:sz w:val="28"/>
          <w:szCs w:val="28"/>
          <w:rtl/>
        </w:rPr>
        <w:t>ثلاث مرات يومياً مع الطعام — يزيد تناول الكالسيوم بنحو 2.5 ضعف</w:t>
      </w:r>
      <w:r w:rsidRPr="00750429">
        <w:rPr>
          <w:rFonts w:asciiTheme="minorBidi" w:hAnsiTheme="minorBidi"/>
          <w:sz w:val="28"/>
          <w:szCs w:val="28"/>
        </w:rPr>
        <w:t>.</w:t>
      </w:r>
    </w:p>
    <w:p w14:paraId="7DF26A3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كما ينخفض إطراح الكالسيوم في</w:t>
      </w:r>
      <w:r w:rsidRPr="00750429">
        <w:rPr>
          <w:rFonts w:asciiTheme="minorBidi" w:hAnsiTheme="minorBidi"/>
          <w:sz w:val="28"/>
          <w:szCs w:val="28"/>
        </w:rPr>
        <w:t xml:space="preserve"> CKD </w:t>
      </w:r>
      <w:r w:rsidRPr="00750429">
        <w:rPr>
          <w:rFonts w:asciiTheme="minorBidi" w:hAnsiTheme="minorBidi"/>
          <w:sz w:val="28"/>
          <w:szCs w:val="28"/>
          <w:rtl/>
        </w:rPr>
        <w:t>بسبب انخفاض الحمل المرشح من الكالسيوم</w:t>
      </w:r>
      <w:r w:rsidRPr="00750429">
        <w:rPr>
          <w:rFonts w:asciiTheme="minorBidi" w:hAnsiTheme="minorBidi"/>
          <w:sz w:val="28"/>
          <w:szCs w:val="28"/>
        </w:rPr>
        <w:t>.</w:t>
      </w:r>
    </w:p>
    <w:p w14:paraId="57E12F9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يؤدي اجتماع زيادة تناول الكالسيوم وانخفاض إطراحه إلى توازن إيجابي للكالسيوم، حتى في غياب فرط كالسيوم الدم</w:t>
      </w:r>
      <w:r w:rsidRPr="00750429">
        <w:rPr>
          <w:rFonts w:asciiTheme="minorBidi" w:hAnsiTheme="minorBidi"/>
          <w:sz w:val="28"/>
          <w:szCs w:val="28"/>
        </w:rPr>
        <w:t>.</w:t>
      </w:r>
    </w:p>
    <w:p w14:paraId="74EAD66B"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أوضحت نتائج دراسة عشوائية متصالبة مضبوطة بالغفل هذه المخاوف بشكل جيد، إذ درست تأثير إعطاء كربونات الكالسيوم فموياً على توازن الكالسيوم والفوسفات لدى ثمانية مرضى مصابين بـ</w:t>
      </w:r>
      <w:r w:rsidRPr="00750429">
        <w:rPr>
          <w:rFonts w:asciiTheme="minorBidi" w:hAnsiTheme="minorBidi"/>
          <w:sz w:val="28"/>
          <w:szCs w:val="28"/>
        </w:rPr>
        <w:t>CKD</w:t>
      </w:r>
      <w:r w:rsidRPr="00750429">
        <w:rPr>
          <w:rFonts w:asciiTheme="minorBidi" w:hAnsiTheme="minorBidi"/>
          <w:sz w:val="28"/>
          <w:szCs w:val="28"/>
          <w:rtl/>
        </w:rPr>
        <w:t>، وكان</w:t>
      </w:r>
      <w:r w:rsidRPr="00750429">
        <w:rPr>
          <w:rFonts w:asciiTheme="minorBidi" w:hAnsiTheme="minorBidi"/>
          <w:sz w:val="28"/>
          <w:szCs w:val="28"/>
        </w:rPr>
        <w:t xml:space="preserve"> eGFR </w:t>
      </w:r>
      <w:r w:rsidRPr="00750429">
        <w:rPr>
          <w:rFonts w:asciiTheme="minorBidi" w:hAnsiTheme="minorBidi"/>
          <w:sz w:val="28"/>
          <w:szCs w:val="28"/>
          <w:rtl/>
        </w:rPr>
        <w:t>لديهم بين 15 و59 مل/دقيقة/1.73 م²</w:t>
      </w:r>
      <w:r w:rsidRPr="00750429">
        <w:rPr>
          <w:rFonts w:asciiTheme="minorBidi" w:hAnsiTheme="minorBidi"/>
          <w:sz w:val="28"/>
          <w:szCs w:val="28"/>
        </w:rPr>
        <w:t xml:space="preserve"> [55].</w:t>
      </w:r>
    </w:p>
    <w:p w14:paraId="7030B3A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تلقى المشاركون نظاماً غذائياً مضبوطاً مع إما مكمل كربونات الكالسيوم — 1500</w:t>
      </w:r>
      <w:r w:rsidRPr="00750429">
        <w:rPr>
          <w:rFonts w:asciiTheme="minorBidi" w:hAnsiTheme="minorBidi"/>
          <w:sz w:val="28"/>
          <w:szCs w:val="28"/>
        </w:rPr>
        <w:t xml:space="preserve"> mg </w:t>
      </w:r>
      <w:r w:rsidRPr="00750429">
        <w:rPr>
          <w:rFonts w:asciiTheme="minorBidi" w:hAnsiTheme="minorBidi"/>
          <w:sz w:val="28"/>
          <w:szCs w:val="28"/>
          <w:rtl/>
        </w:rPr>
        <w:t>من الكالسيوم يومياً — أو الغفل خلال فترتين لتقييم التوازن مدة كل منهما ثلاثة أسابيع</w:t>
      </w:r>
      <w:r w:rsidRPr="00750429">
        <w:rPr>
          <w:rFonts w:asciiTheme="minorBidi" w:hAnsiTheme="minorBidi"/>
          <w:sz w:val="28"/>
          <w:szCs w:val="28"/>
        </w:rPr>
        <w:t>.</w:t>
      </w:r>
    </w:p>
    <w:p w14:paraId="1769771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وجُمعت عينات دم وبول أثناء الصيام في خط الأساس وفي نهاية كل أسبوع</w:t>
      </w:r>
      <w:r w:rsidRPr="00750429">
        <w:rPr>
          <w:rFonts w:asciiTheme="minorBidi" w:hAnsiTheme="minorBidi"/>
          <w:sz w:val="28"/>
          <w:szCs w:val="28"/>
        </w:rPr>
        <w:t>.</w:t>
      </w:r>
    </w:p>
    <w:p w14:paraId="4409C02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كما جُمعت جميع عينات البراز والبول خلال الأسبوعين الثاني والثالث من كل فترة توازن</w:t>
      </w:r>
      <w:r w:rsidRPr="00750429">
        <w:rPr>
          <w:rFonts w:asciiTheme="minorBidi" w:hAnsiTheme="minorBidi"/>
          <w:sz w:val="28"/>
          <w:szCs w:val="28"/>
        </w:rPr>
        <w:t>.</w:t>
      </w:r>
    </w:p>
    <w:p w14:paraId="451EB25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وأُعطي نظير الكالسيوم ‏45</w:t>
      </w:r>
      <w:r w:rsidRPr="00750429">
        <w:rPr>
          <w:rFonts w:asciiTheme="minorBidi" w:hAnsiTheme="minorBidi"/>
          <w:sz w:val="28"/>
          <w:szCs w:val="28"/>
        </w:rPr>
        <w:t xml:space="preserve">CaCl2 </w:t>
      </w:r>
      <w:r w:rsidRPr="00750429">
        <w:rPr>
          <w:rFonts w:asciiTheme="minorBidi" w:hAnsiTheme="minorBidi"/>
          <w:sz w:val="28"/>
          <w:szCs w:val="28"/>
          <w:rtl/>
        </w:rPr>
        <w:t>فموياً ووريدياً لتحديد حركية الكالسيوم</w:t>
      </w:r>
      <w:r w:rsidRPr="00750429">
        <w:rPr>
          <w:rFonts w:asciiTheme="minorBidi" w:hAnsiTheme="minorBidi"/>
          <w:sz w:val="28"/>
          <w:szCs w:val="28"/>
        </w:rPr>
        <w:t>.</w:t>
      </w:r>
    </w:p>
    <w:p w14:paraId="45ABFF8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كان المرضى في حالة توازن متعادل للكالسيوم والفوسفور أثناء استخدام الغفل</w:t>
      </w:r>
      <w:r w:rsidRPr="00750429">
        <w:rPr>
          <w:rFonts w:asciiTheme="minorBidi" w:hAnsiTheme="minorBidi"/>
          <w:sz w:val="28"/>
          <w:szCs w:val="28"/>
        </w:rPr>
        <w:t>.</w:t>
      </w:r>
    </w:p>
    <w:p w14:paraId="7276D50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وأدى إعطاء كربونات الكالسيوم إلى توازن إيجابي للكالسيوم دون تأثير على توازن الفوسفور</w:t>
      </w:r>
      <w:r w:rsidRPr="00750429">
        <w:rPr>
          <w:rFonts w:asciiTheme="minorBidi" w:hAnsiTheme="minorBidi"/>
          <w:sz w:val="28"/>
          <w:szCs w:val="28"/>
        </w:rPr>
        <w:t>.</w:t>
      </w:r>
    </w:p>
    <w:p w14:paraId="53D7587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كما أدى تناول كربونات الكالسيوم، مقارنةً بالغفل، إلى انخفاض طفيف في إطراح الفوسفور في البول</w:t>
      </w:r>
      <w:r w:rsidRPr="00750429">
        <w:rPr>
          <w:rFonts w:asciiTheme="minorBidi" w:hAnsiTheme="minorBidi"/>
          <w:sz w:val="28"/>
          <w:szCs w:val="28"/>
        </w:rPr>
        <w:t>.</w:t>
      </w:r>
    </w:p>
    <w:p w14:paraId="0769AEDE"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وأظهرت حركية الكالسيوم توازناً عظمياً صافياً إيجابياً</w:t>
      </w:r>
      <w:r w:rsidRPr="00750429">
        <w:rPr>
          <w:rFonts w:asciiTheme="minorBidi" w:hAnsiTheme="minorBidi"/>
          <w:sz w:val="28"/>
          <w:szCs w:val="28"/>
        </w:rPr>
        <w:t>.</w:t>
      </w:r>
    </w:p>
    <w:p w14:paraId="7C6621C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ومع ذلك، كانت كمية الكالسيوم المترسبة في العظم أقل من إجمالي التوازن الإيجابي للكالسيوم، مما يشير إلى حدوث درجة من الترسب في الأنسجة الرخوة</w:t>
      </w:r>
      <w:r w:rsidRPr="00750429">
        <w:rPr>
          <w:rFonts w:asciiTheme="minorBidi" w:hAnsiTheme="minorBidi"/>
          <w:sz w:val="28"/>
          <w:szCs w:val="28"/>
        </w:rPr>
        <w:t>.</w:t>
      </w:r>
    </w:p>
    <w:p w14:paraId="752A08A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ولم تتأثر القياسات الكيميائية الحيوية في الدم أثناء الصيام الخاصة باستتباب الكالسيوم والفوسفات بكربونات الكالسيوم، مما يشير إلى عدم جدوى الاعتماد فقط على تراكيز الدم لتحديد فرط المعادن أو تراكمها</w:t>
      </w:r>
      <w:r w:rsidRPr="00750429">
        <w:rPr>
          <w:rFonts w:asciiTheme="minorBidi" w:hAnsiTheme="minorBidi"/>
          <w:sz w:val="28"/>
          <w:szCs w:val="28"/>
        </w:rPr>
        <w:t>.</w:t>
      </w:r>
    </w:p>
    <w:p w14:paraId="689A241D"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يكون تفسير هذه البيانات محدوداً بسبب قصر مدة الدراسة</w:t>
      </w:r>
      <w:r w:rsidRPr="00750429">
        <w:rPr>
          <w:rFonts w:asciiTheme="minorBidi" w:hAnsiTheme="minorBidi"/>
          <w:sz w:val="28"/>
          <w:szCs w:val="28"/>
        </w:rPr>
        <w:t>.</w:t>
      </w:r>
    </w:p>
    <w:p w14:paraId="7C6850B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فمن الممكن أن المرضى لم يصلوا إلى حالة مستقرة بعد مدة لا تتجاوز أسبوعاً إلى ثلاثة أسابيع من إعطاء الكالسيوم</w:t>
      </w:r>
      <w:r w:rsidRPr="00750429">
        <w:rPr>
          <w:rFonts w:asciiTheme="minorBidi" w:hAnsiTheme="minorBidi"/>
          <w:sz w:val="28"/>
          <w:szCs w:val="28"/>
        </w:rPr>
        <w:t>.</w:t>
      </w:r>
    </w:p>
    <w:p w14:paraId="48ED50B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وإذا كان الأمر كذلك، فقد يكون التوازن الإيجابي قصير الأمد للكالسيوم الذي لوحظ استجابةً مناسبةً لتعويض سنوات من نقص كالسيوم العظام، وبالتالي قد ينخفض مع مرور الوقت</w:t>
      </w:r>
      <w:r w:rsidRPr="00750429">
        <w:rPr>
          <w:rFonts w:asciiTheme="minorBidi" w:hAnsiTheme="minorBidi"/>
          <w:sz w:val="28"/>
          <w:szCs w:val="28"/>
        </w:rPr>
        <w:t xml:space="preserve"> [56].</w:t>
      </w:r>
    </w:p>
    <w:p w14:paraId="5A744642" w14:textId="77777777" w:rsidR="00395B73" w:rsidRDefault="00395B73" w:rsidP="00750429">
      <w:pPr>
        <w:bidi/>
        <w:spacing w:after="0"/>
        <w:rPr>
          <w:rFonts w:asciiTheme="minorBidi" w:hAnsiTheme="minorBidi"/>
          <w:sz w:val="28"/>
          <w:szCs w:val="28"/>
          <w:rtl/>
        </w:rPr>
      </w:pPr>
    </w:p>
    <w:p w14:paraId="533DC329" w14:textId="6EB96C15" w:rsidR="00750429" w:rsidRPr="00750429" w:rsidRDefault="00750429" w:rsidP="00395B73">
      <w:pPr>
        <w:bidi/>
        <w:spacing w:after="0"/>
        <w:rPr>
          <w:rFonts w:asciiTheme="minorBidi" w:hAnsiTheme="minorBidi"/>
          <w:sz w:val="28"/>
          <w:szCs w:val="28"/>
        </w:rPr>
      </w:pPr>
      <w:r w:rsidRPr="00750429">
        <w:rPr>
          <w:rFonts w:asciiTheme="minorBidi" w:hAnsiTheme="minorBidi"/>
          <w:sz w:val="28"/>
          <w:szCs w:val="28"/>
          <w:rtl/>
        </w:rPr>
        <w:t>وفي الدراسات الأطول مدةً لدى مرضى</w:t>
      </w:r>
      <w:r w:rsidRPr="00750429">
        <w:rPr>
          <w:rFonts w:asciiTheme="minorBidi" w:hAnsiTheme="minorBidi"/>
          <w:sz w:val="28"/>
          <w:szCs w:val="28"/>
        </w:rPr>
        <w:t xml:space="preserve"> CKD </w:t>
      </w:r>
      <w:r w:rsidRPr="00750429">
        <w:rPr>
          <w:rFonts w:asciiTheme="minorBidi" w:hAnsiTheme="minorBidi"/>
          <w:sz w:val="28"/>
          <w:szCs w:val="28"/>
          <w:rtl/>
        </w:rPr>
        <w:t>قبل الغسيل، انخفض إطراح الفوسفات خلال 24 ساعة بدرجة ملحوظة عند استخدام الرابطات المحتوية على الكالسيوم</w:t>
      </w:r>
      <w:r w:rsidRPr="00750429">
        <w:rPr>
          <w:rFonts w:asciiTheme="minorBidi" w:hAnsiTheme="minorBidi"/>
          <w:sz w:val="28"/>
          <w:szCs w:val="28"/>
        </w:rPr>
        <w:t xml:space="preserve"> [53].</w:t>
      </w:r>
    </w:p>
    <w:p w14:paraId="69254637" w14:textId="77777777" w:rsidR="00395B73" w:rsidRDefault="00395B73" w:rsidP="00750429">
      <w:pPr>
        <w:bidi/>
        <w:spacing w:after="0"/>
        <w:rPr>
          <w:rFonts w:asciiTheme="minorBidi" w:hAnsiTheme="minorBidi"/>
          <w:b/>
          <w:bCs/>
          <w:sz w:val="28"/>
          <w:szCs w:val="28"/>
          <w:rtl/>
        </w:rPr>
      </w:pPr>
    </w:p>
    <w:p w14:paraId="65EB9901" w14:textId="77777777" w:rsidR="00395B73" w:rsidRDefault="00395B73" w:rsidP="00395B73">
      <w:pPr>
        <w:bidi/>
        <w:spacing w:after="0"/>
        <w:rPr>
          <w:rFonts w:asciiTheme="minorBidi" w:hAnsiTheme="minorBidi"/>
          <w:b/>
          <w:bCs/>
          <w:sz w:val="28"/>
          <w:szCs w:val="28"/>
          <w:rtl/>
        </w:rPr>
      </w:pPr>
    </w:p>
    <w:p w14:paraId="0374D776" w14:textId="5603AC08" w:rsidR="00750429" w:rsidRPr="00750429" w:rsidRDefault="00750429" w:rsidP="00395B73">
      <w:pPr>
        <w:bidi/>
        <w:spacing w:after="0"/>
        <w:rPr>
          <w:rFonts w:asciiTheme="minorBidi" w:hAnsiTheme="minorBidi"/>
          <w:b/>
          <w:bCs/>
          <w:sz w:val="28"/>
          <w:szCs w:val="28"/>
        </w:rPr>
      </w:pPr>
      <w:r w:rsidRPr="00750429">
        <w:rPr>
          <w:rFonts w:asciiTheme="minorBidi" w:hAnsiTheme="minorBidi"/>
          <w:b/>
          <w:bCs/>
          <w:sz w:val="28"/>
          <w:szCs w:val="28"/>
          <w:rtl/>
        </w:rPr>
        <w:lastRenderedPageBreak/>
        <w:t>الجرعة والعوامل الدوائية المحددة</w:t>
      </w:r>
    </w:p>
    <w:p w14:paraId="347A7BF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بالنسبة إلى جميع رابطات الفوسفات، ينبغي استخدام أقل جرعة فعالة</w:t>
      </w:r>
      <w:r w:rsidRPr="00750429">
        <w:rPr>
          <w:rFonts w:asciiTheme="minorBidi" w:hAnsiTheme="minorBidi"/>
          <w:sz w:val="28"/>
          <w:szCs w:val="28"/>
        </w:rPr>
        <w:t>.</w:t>
      </w:r>
    </w:p>
    <w:p w14:paraId="59F3ACF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ولا تكون رابطات الفوسفات فعالةً إلا إذا أُخذت مع الوجبات</w:t>
      </w:r>
      <w:r w:rsidRPr="00750429">
        <w:rPr>
          <w:rFonts w:asciiTheme="minorBidi" w:hAnsiTheme="minorBidi"/>
          <w:sz w:val="28"/>
          <w:szCs w:val="28"/>
        </w:rPr>
        <w:t xml:space="preserve"> [57].</w:t>
      </w:r>
    </w:p>
    <w:p w14:paraId="743F7CE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وفيما يلي جرعات هذه الأدوية</w:t>
      </w:r>
      <w:r w:rsidRPr="00750429">
        <w:rPr>
          <w:rFonts w:asciiTheme="minorBidi" w:hAnsiTheme="minorBidi"/>
          <w:sz w:val="28"/>
          <w:szCs w:val="28"/>
        </w:rPr>
        <w:t>.</w:t>
      </w:r>
    </w:p>
    <w:p w14:paraId="42A8CAAB" w14:textId="77777777" w:rsidR="00750429" w:rsidRPr="00750429" w:rsidRDefault="00750429" w:rsidP="00750429">
      <w:pPr>
        <w:bidi/>
        <w:spacing w:after="0"/>
        <w:rPr>
          <w:rFonts w:asciiTheme="minorBidi" w:hAnsiTheme="minorBidi"/>
          <w:b/>
          <w:bCs/>
          <w:sz w:val="28"/>
          <w:szCs w:val="28"/>
        </w:rPr>
      </w:pPr>
      <w:r w:rsidRPr="00750429">
        <w:rPr>
          <w:rFonts w:asciiTheme="minorBidi" w:hAnsiTheme="minorBidi"/>
          <w:b/>
          <w:bCs/>
          <w:sz w:val="28"/>
          <w:szCs w:val="28"/>
          <w:rtl/>
        </w:rPr>
        <w:t>العوامل المفضلة</w:t>
      </w:r>
    </w:p>
    <w:p w14:paraId="6073E70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استناداً إلى التكلفة وملامح الآثار الجانبية الملائمة، نستخدم عموماً الرابطات غير المحتوية على الكالسيوم، وهي السيفيلامير أو اللانثانوم</w:t>
      </w:r>
      <w:r w:rsidRPr="00750429">
        <w:rPr>
          <w:rFonts w:asciiTheme="minorBidi" w:hAnsiTheme="minorBidi"/>
          <w:sz w:val="28"/>
          <w:szCs w:val="28"/>
        </w:rPr>
        <w:t>.</w:t>
      </w:r>
    </w:p>
    <w:p w14:paraId="5973AAE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ويسترشد اختيارنا لأحدهما بدلاً من الآخر بقدرة المريض على تحمل التكلفة، والآثار الجانبية، وتفضيلات المريض</w:t>
      </w:r>
      <w:r w:rsidRPr="00750429">
        <w:rPr>
          <w:rFonts w:asciiTheme="minorBidi" w:hAnsiTheme="minorBidi"/>
          <w:sz w:val="28"/>
          <w:szCs w:val="28"/>
        </w:rPr>
        <w:t>.</w:t>
      </w:r>
    </w:p>
    <w:p w14:paraId="457016D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فعلى سبيل المثال، نصف اللانثانوم للمرضى الذين يفضلون مضغ الدواء بدلاً من بلعه كاملاً</w:t>
      </w:r>
      <w:r w:rsidRPr="00750429">
        <w:rPr>
          <w:rFonts w:asciiTheme="minorBidi" w:hAnsiTheme="minorBidi"/>
          <w:sz w:val="28"/>
          <w:szCs w:val="28"/>
        </w:rPr>
        <w:t>.</w:t>
      </w:r>
    </w:p>
    <w:p w14:paraId="13E653E3" w14:textId="77777777" w:rsidR="008523E5" w:rsidRDefault="008523E5" w:rsidP="00750429">
      <w:pPr>
        <w:bidi/>
        <w:spacing w:after="0"/>
        <w:rPr>
          <w:rFonts w:asciiTheme="minorBidi" w:hAnsiTheme="minorBidi"/>
          <w:b/>
          <w:bCs/>
          <w:sz w:val="28"/>
          <w:szCs w:val="28"/>
          <w:rtl/>
        </w:rPr>
      </w:pPr>
    </w:p>
    <w:p w14:paraId="78291569" w14:textId="40ABA504" w:rsidR="00750429" w:rsidRPr="00750429" w:rsidRDefault="00750429" w:rsidP="008523E5">
      <w:pPr>
        <w:bidi/>
        <w:spacing w:after="0"/>
        <w:rPr>
          <w:rFonts w:asciiTheme="minorBidi" w:hAnsiTheme="minorBidi"/>
          <w:b/>
          <w:bCs/>
          <w:sz w:val="28"/>
          <w:szCs w:val="28"/>
        </w:rPr>
      </w:pPr>
      <w:r w:rsidRPr="00750429">
        <w:rPr>
          <w:rFonts w:asciiTheme="minorBidi" w:hAnsiTheme="minorBidi"/>
          <w:b/>
          <w:bCs/>
          <w:sz w:val="28"/>
          <w:szCs w:val="28"/>
          <w:rtl/>
        </w:rPr>
        <w:t>سيفيلامير</w:t>
      </w:r>
      <w:r w:rsidRPr="00750429">
        <w:rPr>
          <w:rFonts w:asciiTheme="minorBidi" w:hAnsiTheme="minorBidi"/>
          <w:b/>
          <w:bCs/>
          <w:sz w:val="28"/>
          <w:szCs w:val="28"/>
        </w:rPr>
        <w:t xml:space="preserve"> (Sevelamer)</w:t>
      </w:r>
    </w:p>
    <w:p w14:paraId="5B275F2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هيدروكلوريد السيفيلامير وكربونات السيفيلامير بوليمرات كاتيونية غير قابلة للامتصاص، تربط الفوسفات من خلال التبادل الأيوني</w:t>
      </w:r>
      <w:r w:rsidRPr="00750429">
        <w:rPr>
          <w:rFonts w:asciiTheme="minorBidi" w:hAnsiTheme="minorBidi"/>
          <w:sz w:val="28"/>
          <w:szCs w:val="28"/>
        </w:rPr>
        <w:t xml:space="preserve"> [58].</w:t>
      </w:r>
    </w:p>
    <w:p w14:paraId="1079EDF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والسيفيلامير فعال في خفض مستويات الفوسفات في المصل</w:t>
      </w:r>
      <w:r w:rsidRPr="00750429">
        <w:rPr>
          <w:rFonts w:asciiTheme="minorBidi" w:hAnsiTheme="minorBidi"/>
          <w:sz w:val="28"/>
          <w:szCs w:val="28"/>
        </w:rPr>
        <w:t xml:space="preserve"> [38،39،59–66].</w:t>
      </w:r>
    </w:p>
    <w:p w14:paraId="30AB5A00"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ويتراوح المجال المعتاد لجرعة السيفيلامير من 800 إلى 2400</w:t>
      </w:r>
      <w:r w:rsidRPr="00750429">
        <w:rPr>
          <w:rFonts w:asciiTheme="minorBidi" w:hAnsiTheme="minorBidi"/>
          <w:sz w:val="28"/>
          <w:szCs w:val="28"/>
        </w:rPr>
        <w:t xml:space="preserve"> mg </w:t>
      </w:r>
      <w:r w:rsidRPr="00750429">
        <w:rPr>
          <w:rFonts w:asciiTheme="minorBidi" w:hAnsiTheme="minorBidi"/>
          <w:sz w:val="28"/>
          <w:szCs w:val="28"/>
          <w:rtl/>
        </w:rPr>
        <w:t>ثلاث مرات يومياً مع الوجبات</w:t>
      </w:r>
      <w:r w:rsidRPr="00750429">
        <w:rPr>
          <w:rFonts w:asciiTheme="minorBidi" w:hAnsiTheme="minorBidi"/>
          <w:sz w:val="28"/>
          <w:szCs w:val="28"/>
        </w:rPr>
        <w:t>.</w:t>
      </w:r>
    </w:p>
    <w:p w14:paraId="38A8851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قد يسبب هيدروكلوريد السيفيلامير، بخلاف كربونات السيفيلامير، حماضاً استقلابياً</w:t>
      </w:r>
      <w:r w:rsidRPr="00750429">
        <w:rPr>
          <w:rFonts w:asciiTheme="minorBidi" w:hAnsiTheme="minorBidi"/>
          <w:sz w:val="28"/>
          <w:szCs w:val="28"/>
        </w:rPr>
        <w:t>.</w:t>
      </w:r>
    </w:p>
    <w:p w14:paraId="3406D46B"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ولهذا السبب تُفضَّل كربونات السيفيلامير على هيدروكلوريد السيفيلامير لدى 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 ولدى أي مريض يعاني الحماض الاستقلابي</w:t>
      </w:r>
      <w:r w:rsidRPr="00750429">
        <w:rPr>
          <w:rFonts w:asciiTheme="minorBidi" w:hAnsiTheme="minorBidi"/>
          <w:sz w:val="28"/>
          <w:szCs w:val="28"/>
        </w:rPr>
        <w:t>.</w:t>
      </w:r>
    </w:p>
    <w:p w14:paraId="050FD98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ويُعد السيفيلامير أعلى تكلفةً بكثير من رابطات الفوسفات المحتوية على الكالسيوم</w:t>
      </w:r>
      <w:r w:rsidRPr="00750429">
        <w:rPr>
          <w:rFonts w:asciiTheme="minorBidi" w:hAnsiTheme="minorBidi"/>
          <w:sz w:val="28"/>
          <w:szCs w:val="28"/>
        </w:rPr>
        <w:t xml:space="preserve"> [67،68].</w:t>
      </w:r>
    </w:p>
    <w:p w14:paraId="027D14B6" w14:textId="77777777" w:rsidR="008523E5" w:rsidRDefault="008523E5" w:rsidP="00750429">
      <w:pPr>
        <w:bidi/>
        <w:spacing w:after="0"/>
        <w:rPr>
          <w:rFonts w:asciiTheme="minorBidi" w:hAnsiTheme="minorBidi"/>
          <w:b/>
          <w:bCs/>
          <w:sz w:val="28"/>
          <w:szCs w:val="28"/>
          <w:rtl/>
        </w:rPr>
      </w:pPr>
    </w:p>
    <w:p w14:paraId="4C18BC8D" w14:textId="062CDF3F" w:rsidR="00750429" w:rsidRPr="00750429" w:rsidRDefault="00750429" w:rsidP="008523E5">
      <w:pPr>
        <w:bidi/>
        <w:spacing w:after="0"/>
        <w:rPr>
          <w:rFonts w:asciiTheme="minorBidi" w:hAnsiTheme="minorBidi"/>
          <w:b/>
          <w:bCs/>
          <w:sz w:val="28"/>
          <w:szCs w:val="28"/>
        </w:rPr>
      </w:pPr>
      <w:r w:rsidRPr="00750429">
        <w:rPr>
          <w:rFonts w:asciiTheme="minorBidi" w:hAnsiTheme="minorBidi"/>
          <w:b/>
          <w:bCs/>
          <w:sz w:val="28"/>
          <w:szCs w:val="28"/>
          <w:rtl/>
        </w:rPr>
        <w:t>لانثانوم</w:t>
      </w:r>
      <w:r w:rsidRPr="00750429">
        <w:rPr>
          <w:rFonts w:asciiTheme="minorBidi" w:hAnsiTheme="minorBidi"/>
          <w:b/>
          <w:bCs/>
          <w:sz w:val="28"/>
          <w:szCs w:val="28"/>
        </w:rPr>
        <w:t xml:space="preserve"> (Lanthanum)</w:t>
      </w:r>
    </w:p>
    <w:p w14:paraId="6C06430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اللانثانوم عنصر من العناصر الأرضية النادرة، وهو فعال في خفض مستويات الفوسفات لدى مرضى الغسيل [69–76] ولدى 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w:t>
      </w:r>
      <w:r w:rsidRPr="00750429">
        <w:rPr>
          <w:rFonts w:asciiTheme="minorBidi" w:hAnsiTheme="minorBidi"/>
          <w:sz w:val="28"/>
          <w:szCs w:val="28"/>
        </w:rPr>
        <w:t xml:space="preserve"> [77].</w:t>
      </w:r>
    </w:p>
    <w:p w14:paraId="4745C97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وبالمقارنة مع رابطات الفوسفات المحتوية على الكالسيوم، يبدو أن اللانثانوم يرتبط بمعدل أقل من التثبيط المفرط لمستويات</w:t>
      </w:r>
      <w:r w:rsidRPr="00750429">
        <w:rPr>
          <w:rFonts w:asciiTheme="minorBidi" w:hAnsiTheme="minorBidi"/>
          <w:sz w:val="28"/>
          <w:szCs w:val="28"/>
        </w:rPr>
        <w:t xml:space="preserve"> PTH [69–71،73،75،76،78–80].</w:t>
      </w:r>
    </w:p>
    <w:p w14:paraId="6DB90FB7" w14:textId="77777777" w:rsidR="00C95370" w:rsidRDefault="00C95370" w:rsidP="00750429">
      <w:pPr>
        <w:bidi/>
        <w:spacing w:after="0"/>
        <w:rPr>
          <w:rFonts w:asciiTheme="minorBidi" w:hAnsiTheme="minorBidi"/>
          <w:sz w:val="28"/>
          <w:szCs w:val="28"/>
          <w:rtl/>
        </w:rPr>
      </w:pPr>
    </w:p>
    <w:p w14:paraId="5B4ED257" w14:textId="3CF3BD7C" w:rsidR="00750429" w:rsidRPr="00750429" w:rsidRDefault="00750429" w:rsidP="00C95370">
      <w:pPr>
        <w:bidi/>
        <w:spacing w:after="0"/>
        <w:rPr>
          <w:rFonts w:asciiTheme="minorBidi" w:hAnsiTheme="minorBidi"/>
          <w:sz w:val="28"/>
          <w:szCs w:val="28"/>
        </w:rPr>
      </w:pPr>
      <w:r w:rsidRPr="00750429">
        <w:rPr>
          <w:rFonts w:asciiTheme="minorBidi" w:hAnsiTheme="minorBidi"/>
          <w:sz w:val="28"/>
          <w:szCs w:val="28"/>
          <w:rtl/>
        </w:rPr>
        <w:t>ومن الفوائد الإضافية المحتملة للانثانوم، مقارنةً برابطات الفوسفات الأخرى، انخفاض العبء اليومي من الأقراص</w:t>
      </w:r>
      <w:r w:rsidRPr="00750429">
        <w:rPr>
          <w:rFonts w:asciiTheme="minorBidi" w:hAnsiTheme="minorBidi"/>
          <w:sz w:val="28"/>
          <w:szCs w:val="28"/>
        </w:rPr>
        <w:t xml:space="preserve"> [81].</w:t>
      </w:r>
    </w:p>
    <w:p w14:paraId="79E833F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كما أن أقراص اللانثانوم تُـمضغ بدلاً من أن تُبلع كاملةً</w:t>
      </w:r>
      <w:r w:rsidRPr="00750429">
        <w:rPr>
          <w:rFonts w:asciiTheme="minorBidi" w:hAnsiTheme="minorBidi"/>
          <w:sz w:val="28"/>
          <w:szCs w:val="28"/>
        </w:rPr>
        <w:t>.</w:t>
      </w:r>
    </w:p>
    <w:p w14:paraId="5C1E54D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ويتراوح المجال المعتاد للجرعة بين 500 و1000</w:t>
      </w:r>
      <w:r w:rsidRPr="00750429">
        <w:rPr>
          <w:rFonts w:asciiTheme="minorBidi" w:hAnsiTheme="minorBidi"/>
          <w:sz w:val="28"/>
          <w:szCs w:val="28"/>
        </w:rPr>
        <w:t xml:space="preserve"> mg </w:t>
      </w:r>
      <w:r w:rsidRPr="00750429">
        <w:rPr>
          <w:rFonts w:asciiTheme="minorBidi" w:hAnsiTheme="minorBidi"/>
          <w:sz w:val="28"/>
          <w:szCs w:val="28"/>
          <w:rtl/>
        </w:rPr>
        <w:t>ثلاث مرات يومياً مع الوجبات</w:t>
      </w:r>
      <w:r w:rsidRPr="00750429">
        <w:rPr>
          <w:rFonts w:asciiTheme="minorBidi" w:hAnsiTheme="minorBidi"/>
          <w:sz w:val="28"/>
          <w:szCs w:val="28"/>
        </w:rPr>
        <w:t>.</w:t>
      </w:r>
    </w:p>
    <w:p w14:paraId="12A961F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وفي الدراسات التي أُجريت لدى مرضى الغسيل، لم تُبلَّغ آثار ضارة مهمة مع اللانثانوم</w:t>
      </w:r>
      <w:r w:rsidRPr="00750429">
        <w:rPr>
          <w:rFonts w:asciiTheme="minorBidi" w:hAnsiTheme="minorBidi"/>
          <w:sz w:val="28"/>
          <w:szCs w:val="28"/>
        </w:rPr>
        <w:t xml:space="preserve"> [69–71،73،75،76،78–80].</w:t>
      </w:r>
    </w:p>
    <w:p w14:paraId="6B657AD7" w14:textId="77777777" w:rsidR="00FB41D0" w:rsidRDefault="00FB41D0" w:rsidP="00750429">
      <w:pPr>
        <w:bidi/>
        <w:spacing w:after="0"/>
        <w:rPr>
          <w:rFonts w:asciiTheme="minorBidi" w:hAnsiTheme="minorBidi"/>
          <w:sz w:val="28"/>
          <w:szCs w:val="28"/>
        </w:rPr>
      </w:pPr>
    </w:p>
    <w:p w14:paraId="071F5058" w14:textId="0E68F401" w:rsidR="00750429" w:rsidRPr="00750429" w:rsidRDefault="00750429" w:rsidP="00FB41D0">
      <w:pPr>
        <w:bidi/>
        <w:spacing w:after="0"/>
        <w:rPr>
          <w:rFonts w:asciiTheme="minorBidi" w:hAnsiTheme="minorBidi"/>
          <w:sz w:val="28"/>
          <w:szCs w:val="28"/>
        </w:rPr>
      </w:pPr>
      <w:r w:rsidRPr="00750429">
        <w:rPr>
          <w:rFonts w:asciiTheme="minorBidi" w:hAnsiTheme="minorBidi"/>
          <w:sz w:val="28"/>
          <w:szCs w:val="28"/>
          <w:rtl/>
        </w:rPr>
        <w:t>وقد قُيِّمت سلامة استخدام اللانثانوم لمدة تصل إلى سنتين لدى 1359 مريضاً خاضعاً للغسيل الدموي، وُزّعوا عشوائياً لتلقي اللانثانوم بجرعة قصوى 3000</w:t>
      </w:r>
      <w:r w:rsidRPr="00750429">
        <w:rPr>
          <w:rFonts w:asciiTheme="minorBidi" w:hAnsiTheme="minorBidi"/>
          <w:sz w:val="28"/>
          <w:szCs w:val="28"/>
        </w:rPr>
        <w:t xml:space="preserve"> mg </w:t>
      </w:r>
      <w:r w:rsidRPr="00750429">
        <w:rPr>
          <w:rFonts w:asciiTheme="minorBidi" w:hAnsiTheme="minorBidi"/>
          <w:sz w:val="28"/>
          <w:szCs w:val="28"/>
          <w:rtl/>
        </w:rPr>
        <w:t>يومياً أو رابط الفوسفات الذي كانوا يتناولونه قبل الدراسة</w:t>
      </w:r>
      <w:r w:rsidRPr="00750429">
        <w:rPr>
          <w:rFonts w:asciiTheme="minorBidi" w:hAnsiTheme="minorBidi"/>
          <w:sz w:val="28"/>
          <w:szCs w:val="28"/>
        </w:rPr>
        <w:t xml:space="preserve"> [75].</w:t>
      </w:r>
    </w:p>
    <w:p w14:paraId="5759E1C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وكان معدل حدوث الآثار الجانبية متشابهاً في المجموعتين، وكانت في الأساس آثاراً معدية معوية</w:t>
      </w:r>
      <w:r w:rsidRPr="00750429">
        <w:rPr>
          <w:rFonts w:asciiTheme="minorBidi" w:hAnsiTheme="minorBidi"/>
          <w:sz w:val="28"/>
          <w:szCs w:val="28"/>
        </w:rPr>
        <w:t>.</w:t>
      </w:r>
    </w:p>
    <w:p w14:paraId="2E36CC9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ولم تُلاحظ دلائل على سمية كبدية</w:t>
      </w:r>
      <w:r w:rsidRPr="00750429">
        <w:rPr>
          <w:rFonts w:asciiTheme="minorBidi" w:hAnsiTheme="minorBidi"/>
          <w:sz w:val="28"/>
          <w:szCs w:val="28"/>
        </w:rPr>
        <w:t>.</w:t>
      </w:r>
    </w:p>
    <w:p w14:paraId="71D48A34" w14:textId="77777777" w:rsidR="00FB41D0" w:rsidRDefault="00FB41D0" w:rsidP="00750429">
      <w:pPr>
        <w:bidi/>
        <w:spacing w:after="0"/>
        <w:rPr>
          <w:rFonts w:asciiTheme="minorBidi" w:hAnsiTheme="minorBidi"/>
          <w:b/>
          <w:bCs/>
          <w:sz w:val="28"/>
          <w:szCs w:val="28"/>
          <w:rtl/>
        </w:rPr>
      </w:pPr>
    </w:p>
    <w:p w14:paraId="459CB966" w14:textId="77777777" w:rsidR="00FB41D0" w:rsidRDefault="00FB41D0" w:rsidP="00FB41D0">
      <w:pPr>
        <w:bidi/>
        <w:spacing w:after="0"/>
        <w:rPr>
          <w:rFonts w:asciiTheme="minorBidi" w:hAnsiTheme="minorBidi"/>
          <w:b/>
          <w:bCs/>
          <w:sz w:val="28"/>
          <w:szCs w:val="28"/>
          <w:rtl/>
        </w:rPr>
      </w:pPr>
    </w:p>
    <w:p w14:paraId="07543D30" w14:textId="01C6E06F"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lastRenderedPageBreak/>
        <w:t>رابطات أخرى غير محتوية على الكالسيوم</w:t>
      </w:r>
    </w:p>
    <w:p w14:paraId="45BC1CF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تشمل رابطات الفوسفات الأخرى غير المحتوية على الكالسيوم أوكسي هيدروكسيد الحديد السكروزي</w:t>
      </w:r>
      <w:r w:rsidRPr="00750429">
        <w:rPr>
          <w:rFonts w:asciiTheme="minorBidi" w:hAnsiTheme="minorBidi"/>
          <w:sz w:val="28"/>
          <w:szCs w:val="28"/>
        </w:rPr>
        <w:t xml:space="preserve"> (Sucroferric oxyhydroxide) </w:t>
      </w:r>
      <w:r w:rsidRPr="00750429">
        <w:rPr>
          <w:rFonts w:asciiTheme="minorBidi" w:hAnsiTheme="minorBidi"/>
          <w:sz w:val="28"/>
          <w:szCs w:val="28"/>
          <w:rtl/>
        </w:rPr>
        <w:t>وسترات الحديديك</w:t>
      </w:r>
      <w:r w:rsidRPr="00750429">
        <w:rPr>
          <w:rFonts w:asciiTheme="minorBidi" w:hAnsiTheme="minorBidi"/>
          <w:sz w:val="28"/>
          <w:szCs w:val="28"/>
        </w:rPr>
        <w:t xml:space="preserve"> (Ferric citrate).</w:t>
      </w:r>
    </w:p>
    <w:p w14:paraId="5CB061A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ومن المزايا المحتملة لأوكسي هيدروكسيد الحديد السكروزي انخفاض عدد الأقراص مقارنةً بالرابطات الأخرى</w:t>
      </w:r>
      <w:r w:rsidRPr="00750429">
        <w:rPr>
          <w:rFonts w:asciiTheme="minorBidi" w:hAnsiTheme="minorBidi"/>
          <w:sz w:val="28"/>
          <w:szCs w:val="28"/>
        </w:rPr>
        <w:t>.</w:t>
      </w:r>
    </w:p>
    <w:p w14:paraId="75A05F9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تكون سترات الحديديك مفيدةً لدى المرضى المصابين بفرط فوسفات الدم والذين يعانون أيضاً نقص الحديد</w:t>
      </w:r>
      <w:r w:rsidRPr="00750429">
        <w:rPr>
          <w:rFonts w:asciiTheme="minorBidi" w:hAnsiTheme="minorBidi"/>
          <w:sz w:val="28"/>
          <w:szCs w:val="28"/>
        </w:rPr>
        <w:t>.</w:t>
      </w:r>
    </w:p>
    <w:p w14:paraId="023E9597" w14:textId="77777777" w:rsidR="00FB41D0" w:rsidRDefault="00FB41D0" w:rsidP="00750429">
      <w:pPr>
        <w:bidi/>
        <w:spacing w:after="0"/>
        <w:rPr>
          <w:rFonts w:asciiTheme="minorBidi" w:hAnsiTheme="minorBidi"/>
          <w:b/>
          <w:bCs/>
          <w:sz w:val="28"/>
          <w:szCs w:val="28"/>
          <w:rtl/>
        </w:rPr>
      </w:pPr>
    </w:p>
    <w:p w14:paraId="248149EE" w14:textId="288144F1"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أوكسي هيدروكسيد الحديد السكروزي</w:t>
      </w:r>
      <w:r w:rsidRPr="00750429">
        <w:rPr>
          <w:rFonts w:asciiTheme="minorBidi" w:hAnsiTheme="minorBidi"/>
          <w:b/>
          <w:bCs/>
          <w:sz w:val="28"/>
          <w:szCs w:val="28"/>
        </w:rPr>
        <w:t xml:space="preserve"> (Sucroferric oxyhydroxide)</w:t>
      </w:r>
    </w:p>
    <w:p w14:paraId="0EFDE9F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أوكسي هيدروكسيد الحديد السكروزي رابط فوسفات قابل للمضغ للمرضى الذين لديهم</w:t>
      </w:r>
      <w:r w:rsidRPr="00750429">
        <w:rPr>
          <w:rFonts w:asciiTheme="minorBidi" w:hAnsiTheme="minorBidi"/>
          <w:sz w:val="28"/>
          <w:szCs w:val="28"/>
        </w:rPr>
        <w:t xml:space="preserve"> eGFR </w:t>
      </w:r>
      <w:r w:rsidRPr="00750429">
        <w:rPr>
          <w:rFonts w:asciiTheme="minorBidi" w:hAnsiTheme="minorBidi"/>
          <w:sz w:val="28"/>
          <w:szCs w:val="28"/>
          <w:rtl/>
        </w:rPr>
        <w:t>أقل من 15 مل/دقيقة/1.73 م²</w:t>
      </w:r>
      <w:r w:rsidRPr="00750429">
        <w:rPr>
          <w:rFonts w:asciiTheme="minorBidi" w:hAnsiTheme="minorBidi"/>
          <w:sz w:val="28"/>
          <w:szCs w:val="28"/>
        </w:rPr>
        <w:t>.</w:t>
      </w:r>
    </w:p>
    <w:p w14:paraId="3E0616B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ويبدو أنه قابل للمقارنة مع السيفيلامير من حيث الفعالية والسلامة، وقد يرتبط بعبء أقل من الأقراص</w:t>
      </w:r>
      <w:r w:rsidRPr="00750429">
        <w:rPr>
          <w:rFonts w:asciiTheme="minorBidi" w:hAnsiTheme="minorBidi"/>
          <w:sz w:val="28"/>
          <w:szCs w:val="28"/>
        </w:rPr>
        <w:t xml:space="preserve"> [82،83].</w:t>
      </w:r>
    </w:p>
    <w:p w14:paraId="0AA1CD0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وتكون الآثار الجانبية في المقام الأول معديةً معويةً، وتشمل الإسهال والغثيان والطعم غير الطبيعي للدواء والإمساك والقيء</w:t>
      </w:r>
      <w:r w:rsidRPr="00750429">
        <w:rPr>
          <w:rFonts w:asciiTheme="minorBidi" w:hAnsiTheme="minorBidi"/>
          <w:sz w:val="28"/>
          <w:szCs w:val="28"/>
        </w:rPr>
        <w:t>.</w:t>
      </w:r>
    </w:p>
    <w:p w14:paraId="7C439D58" w14:textId="0ADDF36D"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 xml:space="preserve">الجرعة </w:t>
      </w:r>
      <w:r w:rsidR="00FB41D0">
        <w:rPr>
          <w:rFonts w:asciiTheme="minorBidi" w:hAnsiTheme="minorBidi" w:hint="cs"/>
          <w:sz w:val="28"/>
          <w:szCs w:val="28"/>
          <w:rtl/>
        </w:rPr>
        <w:t>البدئية</w:t>
      </w:r>
      <w:r w:rsidRPr="00750429">
        <w:rPr>
          <w:rFonts w:asciiTheme="minorBidi" w:hAnsiTheme="minorBidi"/>
          <w:sz w:val="28"/>
          <w:szCs w:val="28"/>
          <w:rtl/>
        </w:rPr>
        <w:t xml:space="preserve"> من أوكسي هيدروكسيد الحديد السكروزي هي 2.5</w:t>
      </w:r>
      <w:r w:rsidRPr="00750429">
        <w:rPr>
          <w:rFonts w:asciiTheme="minorBidi" w:hAnsiTheme="minorBidi"/>
          <w:sz w:val="28"/>
          <w:szCs w:val="28"/>
        </w:rPr>
        <w:t xml:space="preserve"> g </w:t>
      </w:r>
      <w:r w:rsidRPr="00750429">
        <w:rPr>
          <w:rFonts w:asciiTheme="minorBidi" w:hAnsiTheme="minorBidi"/>
          <w:sz w:val="28"/>
          <w:szCs w:val="28"/>
          <w:rtl/>
        </w:rPr>
        <w:t>ثلاث مرات يومياً مع الوجبات، أو إذا عُبِّر عن الجرعة من حيث الحديد العنصري، 500</w:t>
      </w:r>
      <w:r w:rsidRPr="00750429">
        <w:rPr>
          <w:rFonts w:asciiTheme="minorBidi" w:hAnsiTheme="minorBidi"/>
          <w:sz w:val="28"/>
          <w:szCs w:val="28"/>
        </w:rPr>
        <w:t xml:space="preserve"> mg </w:t>
      </w:r>
      <w:r w:rsidRPr="00750429">
        <w:rPr>
          <w:rFonts w:asciiTheme="minorBidi" w:hAnsiTheme="minorBidi"/>
          <w:sz w:val="28"/>
          <w:szCs w:val="28"/>
          <w:rtl/>
        </w:rPr>
        <w:t>ثلاث مرات يومياً مع الوجبات</w:t>
      </w:r>
      <w:r w:rsidRPr="00750429">
        <w:rPr>
          <w:rFonts w:asciiTheme="minorBidi" w:hAnsiTheme="minorBidi"/>
          <w:sz w:val="28"/>
          <w:szCs w:val="28"/>
        </w:rPr>
        <w:t>.</w:t>
      </w:r>
    </w:p>
    <w:p w14:paraId="48F8395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ولا يُمتص معظم الحديد الموجود في أوكسي هيدروكسيد الحديد السكروزي جهازياً، إلا أن زيادات طفيفة في إشباع الترانسفيرين والفيريتين قد لوحظت مع الاستخدام</w:t>
      </w:r>
      <w:r w:rsidRPr="00750429">
        <w:rPr>
          <w:rFonts w:asciiTheme="minorBidi" w:hAnsiTheme="minorBidi"/>
          <w:sz w:val="28"/>
          <w:szCs w:val="28"/>
        </w:rPr>
        <w:t xml:space="preserve"> [84].</w:t>
      </w:r>
    </w:p>
    <w:p w14:paraId="78D5B574" w14:textId="77777777" w:rsidR="00FB41D0" w:rsidRDefault="00FB41D0" w:rsidP="00750429">
      <w:pPr>
        <w:bidi/>
        <w:spacing w:after="0"/>
        <w:rPr>
          <w:rFonts w:asciiTheme="minorBidi" w:hAnsiTheme="minorBidi"/>
          <w:b/>
          <w:bCs/>
          <w:sz w:val="28"/>
          <w:szCs w:val="28"/>
          <w:rtl/>
        </w:rPr>
      </w:pPr>
    </w:p>
    <w:p w14:paraId="75BBDE78" w14:textId="7FD06593"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سترات الحديديك</w:t>
      </w:r>
      <w:r w:rsidRPr="00750429">
        <w:rPr>
          <w:rFonts w:asciiTheme="minorBidi" w:hAnsiTheme="minorBidi"/>
          <w:b/>
          <w:bCs/>
          <w:sz w:val="28"/>
          <w:szCs w:val="28"/>
        </w:rPr>
        <w:t xml:space="preserve"> (Ferric citrate)</w:t>
      </w:r>
    </w:p>
    <w:p w14:paraId="4352A01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تُعد سترات الحديديك فعالةً في خفض تركيز فوسفات المصل بدرجة تقارب رابطات الفوسفات الأخرى</w:t>
      </w:r>
      <w:r w:rsidRPr="00750429">
        <w:rPr>
          <w:rFonts w:asciiTheme="minorBidi" w:hAnsiTheme="minorBidi"/>
          <w:sz w:val="28"/>
          <w:szCs w:val="28"/>
        </w:rPr>
        <w:t xml:space="preserve"> [85–88].</w:t>
      </w:r>
    </w:p>
    <w:p w14:paraId="53D3C3C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إضافةً إلى ذلك، ترفع سترات الحديديك الهيموغلوبين، وحديد المصل، وإشباع الترانسفيرين، والفيريتين</w:t>
      </w:r>
      <w:r w:rsidRPr="00750429">
        <w:rPr>
          <w:rFonts w:asciiTheme="minorBidi" w:hAnsiTheme="minorBidi"/>
          <w:sz w:val="28"/>
          <w:szCs w:val="28"/>
        </w:rPr>
        <w:t xml:space="preserve"> [89].</w:t>
      </w:r>
    </w:p>
    <w:p w14:paraId="7E09AE8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يتلقى مرضى الغسيل الذين يستخدمون سترات الحديديك أيضاً الحديد الوريدي كجزء من نظام تدبير فقر الدم؛ ولذلك ينبغي مراقبة حديد المصل وإشباع الترانسفيرين والفيريتين بعناية لدى هؤلاء المرضى لتجنب فرط حمل الحديد</w:t>
      </w:r>
      <w:r w:rsidRPr="00750429">
        <w:rPr>
          <w:rFonts w:asciiTheme="minorBidi" w:hAnsiTheme="minorBidi"/>
          <w:sz w:val="28"/>
          <w:szCs w:val="28"/>
        </w:rPr>
        <w:t>.</w:t>
      </w:r>
    </w:p>
    <w:p w14:paraId="547A8FE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ثبت أن السترات تزيد امتصاص الألمنيوم، مما يزيد خطر سمية الألمنيوم</w:t>
      </w:r>
      <w:r w:rsidRPr="00750429">
        <w:rPr>
          <w:rFonts w:asciiTheme="minorBidi" w:hAnsiTheme="minorBidi"/>
          <w:sz w:val="28"/>
          <w:szCs w:val="28"/>
        </w:rPr>
        <w:t>.</w:t>
      </w:r>
    </w:p>
    <w:p w14:paraId="7CF020D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ولهذا السبب أوصى بعضهم بتجنب جميع المنتجات المحتوية على السترات لدى مرضى</w:t>
      </w:r>
      <w:r w:rsidRPr="00750429">
        <w:rPr>
          <w:rFonts w:asciiTheme="minorBidi" w:hAnsiTheme="minorBidi"/>
          <w:sz w:val="28"/>
          <w:szCs w:val="28"/>
        </w:rPr>
        <w:t xml:space="preserve"> CKD </w:t>
      </w:r>
      <w:r w:rsidRPr="00750429">
        <w:rPr>
          <w:rFonts w:asciiTheme="minorBidi" w:hAnsiTheme="minorBidi"/>
          <w:sz w:val="28"/>
          <w:szCs w:val="28"/>
          <w:rtl/>
        </w:rPr>
        <w:t>أو المرضى الخاضعين للغسيل</w:t>
      </w:r>
      <w:r w:rsidRPr="00750429">
        <w:rPr>
          <w:rFonts w:asciiTheme="minorBidi" w:hAnsiTheme="minorBidi"/>
          <w:sz w:val="28"/>
          <w:szCs w:val="28"/>
        </w:rPr>
        <w:t>.</w:t>
      </w:r>
    </w:p>
    <w:p w14:paraId="23286BE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ومع ذلك، لم تُلاحظ سمية للألمنيوم لدى متلقي سترات الحديديك في إحدى التجارب التي أُجريت لدى مرضى الغسيل المستمر</w:t>
      </w:r>
      <w:r w:rsidRPr="00750429">
        <w:rPr>
          <w:rFonts w:asciiTheme="minorBidi" w:hAnsiTheme="minorBidi"/>
          <w:sz w:val="28"/>
          <w:szCs w:val="28"/>
        </w:rPr>
        <w:t xml:space="preserve"> [85].</w:t>
      </w:r>
    </w:p>
    <w:p w14:paraId="2A076E1D" w14:textId="77777777" w:rsidR="00FB41D0" w:rsidRDefault="00FB41D0" w:rsidP="00750429">
      <w:pPr>
        <w:bidi/>
        <w:spacing w:after="0"/>
        <w:rPr>
          <w:rFonts w:asciiTheme="minorBidi" w:hAnsiTheme="minorBidi"/>
          <w:b/>
          <w:bCs/>
          <w:sz w:val="28"/>
          <w:szCs w:val="28"/>
          <w:rtl/>
        </w:rPr>
      </w:pPr>
    </w:p>
    <w:p w14:paraId="60BFBB81" w14:textId="399F297D"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رابطات الفوسفات المحتوية على الكالسيوم</w:t>
      </w:r>
    </w:p>
    <w:p w14:paraId="36892E1D"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بالنسبة إلى معظم المرضى، نقترح استخدام الرابطات غير المحتوية على الكالسيوم</w:t>
      </w:r>
      <w:r w:rsidRPr="00750429">
        <w:rPr>
          <w:rFonts w:asciiTheme="minorBidi" w:hAnsiTheme="minorBidi"/>
          <w:sz w:val="28"/>
          <w:szCs w:val="28"/>
        </w:rPr>
        <w:t>.</w:t>
      </w:r>
    </w:p>
    <w:p w14:paraId="47BAD7BD"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ولكن إذا تم اختيار رابطات تحتوي على الكالسيوم، فينبغي ألا تتجاوز الجرعة الإجمالية من الكالسيوم العنصري، بما في ذلك المصادر الغذائية، 2000</w:t>
      </w:r>
      <w:r w:rsidRPr="00750429">
        <w:rPr>
          <w:rFonts w:asciiTheme="minorBidi" w:hAnsiTheme="minorBidi"/>
          <w:sz w:val="28"/>
          <w:szCs w:val="28"/>
        </w:rPr>
        <w:t xml:space="preserve"> mg </w:t>
      </w:r>
      <w:r w:rsidRPr="00750429">
        <w:rPr>
          <w:rFonts w:asciiTheme="minorBidi" w:hAnsiTheme="minorBidi"/>
          <w:sz w:val="28"/>
          <w:szCs w:val="28"/>
          <w:rtl/>
        </w:rPr>
        <w:t>يومياً</w:t>
      </w:r>
      <w:r w:rsidRPr="00750429">
        <w:rPr>
          <w:rFonts w:asciiTheme="minorBidi" w:hAnsiTheme="minorBidi"/>
          <w:sz w:val="28"/>
          <w:szCs w:val="28"/>
        </w:rPr>
        <w:t xml:space="preserve"> [22].</w:t>
      </w:r>
    </w:p>
    <w:p w14:paraId="65F3594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كما ينبغي ألا تتجاوز كمية الكالسيوم العنصري الموجودة في رابط الفوسفات 1500</w:t>
      </w:r>
      <w:r w:rsidRPr="00750429">
        <w:rPr>
          <w:rFonts w:asciiTheme="minorBidi" w:hAnsiTheme="minorBidi"/>
          <w:sz w:val="28"/>
          <w:szCs w:val="28"/>
        </w:rPr>
        <w:t xml:space="preserve"> mg </w:t>
      </w:r>
      <w:r w:rsidRPr="00750429">
        <w:rPr>
          <w:rFonts w:asciiTheme="minorBidi" w:hAnsiTheme="minorBidi"/>
          <w:sz w:val="28"/>
          <w:szCs w:val="28"/>
          <w:rtl/>
        </w:rPr>
        <w:t>يومياً</w:t>
      </w:r>
      <w:r w:rsidRPr="00750429">
        <w:rPr>
          <w:rFonts w:asciiTheme="minorBidi" w:hAnsiTheme="minorBidi"/>
          <w:sz w:val="28"/>
          <w:szCs w:val="28"/>
        </w:rPr>
        <w:t>.</w:t>
      </w:r>
    </w:p>
    <w:p w14:paraId="0825C6D7" w14:textId="77777777" w:rsidR="00FB41D0" w:rsidRDefault="00FB41D0" w:rsidP="00750429">
      <w:pPr>
        <w:bidi/>
        <w:spacing w:after="0"/>
        <w:rPr>
          <w:rFonts w:asciiTheme="minorBidi" w:hAnsiTheme="minorBidi"/>
          <w:b/>
          <w:bCs/>
          <w:sz w:val="28"/>
          <w:szCs w:val="28"/>
          <w:rtl/>
        </w:rPr>
      </w:pPr>
    </w:p>
    <w:p w14:paraId="6D513875" w14:textId="7A180FDF"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النوع والجرعة</w:t>
      </w:r>
    </w:p>
    <w:p w14:paraId="5FEFE12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lastRenderedPageBreak/>
        <w:t>تشمل رابطات الفوسفات المحتوية على الكالسيوم كربونات الكالسيوم وأسيتات الكالسيوم</w:t>
      </w:r>
      <w:r w:rsidRPr="00750429">
        <w:rPr>
          <w:rFonts w:asciiTheme="minorBidi" w:hAnsiTheme="minorBidi"/>
          <w:sz w:val="28"/>
          <w:szCs w:val="28"/>
        </w:rPr>
        <w:t xml:space="preserve"> [90–92].</w:t>
      </w:r>
    </w:p>
    <w:p w14:paraId="109D90BA"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تكون أسيتات الكالسيوم أكثر كفاءةً في ربط الفوسفات من كربونات الكالسيوم</w:t>
      </w:r>
      <w:r w:rsidRPr="00750429">
        <w:rPr>
          <w:rFonts w:asciiTheme="minorBidi" w:hAnsiTheme="minorBidi"/>
          <w:sz w:val="28"/>
          <w:szCs w:val="28"/>
        </w:rPr>
        <w:t xml:space="preserve"> [93–95].</w:t>
      </w:r>
    </w:p>
    <w:p w14:paraId="07C5F73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يتراوح المجال المعتاد لجرعة كربونات الكالسيوم بين 1250 و3750</w:t>
      </w:r>
      <w:r w:rsidRPr="00750429">
        <w:rPr>
          <w:rFonts w:asciiTheme="minorBidi" w:hAnsiTheme="minorBidi"/>
          <w:sz w:val="28"/>
          <w:szCs w:val="28"/>
        </w:rPr>
        <w:t xml:space="preserve"> mg </w:t>
      </w:r>
      <w:r w:rsidRPr="00750429">
        <w:rPr>
          <w:rFonts w:asciiTheme="minorBidi" w:hAnsiTheme="minorBidi"/>
          <w:sz w:val="28"/>
          <w:szCs w:val="28"/>
          <w:rtl/>
        </w:rPr>
        <w:t>يومياً، مقسمةً على جرعات مع الوجبات</w:t>
      </w:r>
      <w:r w:rsidRPr="00750429">
        <w:rPr>
          <w:rFonts w:asciiTheme="minorBidi" w:hAnsiTheme="minorBidi"/>
          <w:sz w:val="28"/>
          <w:szCs w:val="28"/>
        </w:rPr>
        <w:t>.</w:t>
      </w:r>
    </w:p>
    <w:p w14:paraId="50A9523E"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ويتراوح المجال المعتاد لجرعة أسيتات الكالسيوم بين 1334 و2001</w:t>
      </w:r>
      <w:r w:rsidRPr="00750429">
        <w:rPr>
          <w:rFonts w:asciiTheme="minorBidi" w:hAnsiTheme="minorBidi"/>
          <w:sz w:val="28"/>
          <w:szCs w:val="28"/>
        </w:rPr>
        <w:t xml:space="preserve"> mg </w:t>
      </w:r>
      <w:r w:rsidRPr="00750429">
        <w:rPr>
          <w:rFonts w:asciiTheme="minorBidi" w:hAnsiTheme="minorBidi"/>
          <w:sz w:val="28"/>
          <w:szCs w:val="28"/>
          <w:rtl/>
        </w:rPr>
        <w:t>ثلاث مرات يومياً مع الوجبات</w:t>
      </w:r>
      <w:r w:rsidRPr="00750429">
        <w:rPr>
          <w:rFonts w:asciiTheme="minorBidi" w:hAnsiTheme="minorBidi"/>
          <w:sz w:val="28"/>
          <w:szCs w:val="28"/>
        </w:rPr>
        <w:t>.</w:t>
      </w:r>
    </w:p>
    <w:p w14:paraId="0AC4F1E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وتمثل الحدود العليا لهذه المجالات المعتادة للجرعات نحو 1500</w:t>
      </w:r>
      <w:r w:rsidRPr="00750429">
        <w:rPr>
          <w:rFonts w:asciiTheme="minorBidi" w:hAnsiTheme="minorBidi"/>
          <w:sz w:val="28"/>
          <w:szCs w:val="28"/>
        </w:rPr>
        <w:t xml:space="preserve"> mg </w:t>
      </w:r>
      <w:r w:rsidRPr="00750429">
        <w:rPr>
          <w:rFonts w:asciiTheme="minorBidi" w:hAnsiTheme="minorBidi"/>
          <w:sz w:val="28"/>
          <w:szCs w:val="28"/>
          <w:rtl/>
        </w:rPr>
        <w:t>يومياً من الكالسيوم العنصري</w:t>
      </w:r>
      <w:r w:rsidRPr="00750429">
        <w:rPr>
          <w:rFonts w:asciiTheme="minorBidi" w:hAnsiTheme="minorBidi"/>
          <w:sz w:val="28"/>
          <w:szCs w:val="28"/>
        </w:rPr>
        <w:t>.</w:t>
      </w:r>
    </w:p>
    <w:p w14:paraId="4080516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ونظراً إلى أن المدخول الغذائي من الكالسيوم يبلغ عادةً نحو 1000</w:t>
      </w:r>
      <w:r w:rsidRPr="00750429">
        <w:rPr>
          <w:rFonts w:asciiTheme="minorBidi" w:hAnsiTheme="minorBidi"/>
          <w:sz w:val="28"/>
          <w:szCs w:val="28"/>
        </w:rPr>
        <w:t xml:space="preserve"> mg </w:t>
      </w:r>
      <w:r w:rsidRPr="00750429">
        <w:rPr>
          <w:rFonts w:asciiTheme="minorBidi" w:hAnsiTheme="minorBidi"/>
          <w:sz w:val="28"/>
          <w:szCs w:val="28"/>
          <w:rtl/>
        </w:rPr>
        <w:t>يومياً، فإن المرضى الذين يتناولون رابطات محتوية على الكالسيوم عند الحدود العليا من مجال الجرعات المعتادة يكون إجمالي مدخولهم اليومي من الكالسيوم العنصري غالباً أعلى من المستوى الموصى به البالغ 2000</w:t>
      </w:r>
      <w:r w:rsidRPr="00750429">
        <w:rPr>
          <w:rFonts w:asciiTheme="minorBidi" w:hAnsiTheme="minorBidi"/>
          <w:sz w:val="28"/>
          <w:szCs w:val="28"/>
        </w:rPr>
        <w:t xml:space="preserve"> mg </w:t>
      </w:r>
      <w:r w:rsidRPr="00750429">
        <w:rPr>
          <w:rFonts w:asciiTheme="minorBidi" w:hAnsiTheme="minorBidi"/>
          <w:sz w:val="28"/>
          <w:szCs w:val="28"/>
          <w:rtl/>
        </w:rPr>
        <w:t>يومياً</w:t>
      </w:r>
      <w:r w:rsidRPr="00750429">
        <w:rPr>
          <w:rFonts w:asciiTheme="minorBidi" w:hAnsiTheme="minorBidi"/>
          <w:sz w:val="28"/>
          <w:szCs w:val="28"/>
        </w:rPr>
        <w:t>.</w:t>
      </w:r>
    </w:p>
    <w:p w14:paraId="28D9730B" w14:textId="77777777" w:rsidR="00FB41D0" w:rsidRDefault="00FB41D0" w:rsidP="00750429">
      <w:pPr>
        <w:bidi/>
        <w:spacing w:after="0"/>
        <w:rPr>
          <w:rFonts w:asciiTheme="minorBidi" w:hAnsiTheme="minorBidi"/>
          <w:b/>
          <w:bCs/>
          <w:sz w:val="28"/>
          <w:szCs w:val="28"/>
          <w:rtl/>
        </w:rPr>
      </w:pPr>
    </w:p>
    <w:p w14:paraId="15BECDC2" w14:textId="2C49DE14"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مراقبة فرط كالسيوم الدم</w:t>
      </w:r>
    </w:p>
    <w:p w14:paraId="53E844F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تُعد المراقبة الدقيقة لتركيز الكالسيوم في المصل أمراً أساسياً عند الاستخدام المزمن للرابطات المحتوية على الكالسيوم، وخصوصاً لدى مرضى الغسيل الدموي</w:t>
      </w:r>
      <w:r w:rsidRPr="00750429">
        <w:rPr>
          <w:rFonts w:asciiTheme="minorBidi" w:hAnsiTheme="minorBidi"/>
          <w:sz w:val="28"/>
          <w:szCs w:val="28"/>
        </w:rPr>
        <w:t>.</w:t>
      </w:r>
    </w:p>
    <w:p w14:paraId="10A9DDF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يكون اجتماع فرط كالسيوم الدم وفرط فوسفات الدم مشكلةً خاصةً لدى المرضى الذين يستخدمون كلاً من رابطات الفوسفات المحتوية على الكالسيوم ونظائر فيتامين</w:t>
      </w:r>
      <w:r w:rsidRPr="00750429">
        <w:rPr>
          <w:rFonts w:asciiTheme="minorBidi" w:hAnsiTheme="minorBidi"/>
          <w:sz w:val="28"/>
          <w:szCs w:val="28"/>
        </w:rPr>
        <w:t xml:space="preserve"> D </w:t>
      </w:r>
      <w:r w:rsidRPr="00750429">
        <w:rPr>
          <w:rFonts w:asciiTheme="minorBidi" w:hAnsiTheme="minorBidi"/>
          <w:sz w:val="28"/>
          <w:szCs w:val="28"/>
          <w:rtl/>
        </w:rPr>
        <w:t>الفعالة</w:t>
      </w:r>
      <w:r w:rsidRPr="00750429">
        <w:rPr>
          <w:rFonts w:asciiTheme="minorBidi" w:hAnsiTheme="minorBidi"/>
          <w:sz w:val="28"/>
          <w:szCs w:val="28"/>
        </w:rPr>
        <w:t>.</w:t>
      </w:r>
    </w:p>
    <w:p w14:paraId="5FB535B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ولدى هؤلاء المرضى، إذا تطور فرط كالسيوم الدم، ينبغي خفض جرعة رابط الفوسفات المحتوي على الكالسيوم</w:t>
      </w:r>
      <w:r w:rsidRPr="00750429">
        <w:rPr>
          <w:rFonts w:asciiTheme="minorBidi" w:hAnsiTheme="minorBidi"/>
          <w:sz w:val="28"/>
          <w:szCs w:val="28"/>
        </w:rPr>
        <w:t xml:space="preserve"> [22].</w:t>
      </w:r>
    </w:p>
    <w:p w14:paraId="45DA269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كما ينبغي خفض جرعة نظائر فيتامين</w:t>
      </w:r>
      <w:r w:rsidRPr="00750429">
        <w:rPr>
          <w:rFonts w:asciiTheme="minorBidi" w:hAnsiTheme="minorBidi"/>
          <w:sz w:val="28"/>
          <w:szCs w:val="28"/>
        </w:rPr>
        <w:t xml:space="preserve"> D </w:t>
      </w:r>
      <w:r w:rsidRPr="00750429">
        <w:rPr>
          <w:rFonts w:asciiTheme="minorBidi" w:hAnsiTheme="minorBidi"/>
          <w:sz w:val="28"/>
          <w:szCs w:val="28"/>
          <w:rtl/>
        </w:rPr>
        <w:t>الفعالة أو إيقافها إلى أن تعود مستويات الكالسيوم إلى الطبيعي</w:t>
      </w:r>
      <w:r w:rsidRPr="00750429">
        <w:rPr>
          <w:rFonts w:asciiTheme="minorBidi" w:hAnsiTheme="minorBidi"/>
          <w:sz w:val="28"/>
          <w:szCs w:val="28"/>
        </w:rPr>
        <w:t>.</w:t>
      </w:r>
    </w:p>
    <w:p w14:paraId="5D072D6B"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وكما ذُكر أعلاه، حتى في غياب فرط كالسيوم الدم، قد يزيد التوازن الإيجابي للكالسيوم من خطر التكلس الوعائي، وخصوصاً في وجود فرط فوسفات الدم</w:t>
      </w:r>
      <w:r w:rsidRPr="00750429">
        <w:rPr>
          <w:rFonts w:asciiTheme="minorBidi" w:hAnsiTheme="minorBidi"/>
          <w:sz w:val="28"/>
          <w:szCs w:val="28"/>
        </w:rPr>
        <w:t xml:space="preserve"> [90،96–101].</w:t>
      </w:r>
    </w:p>
    <w:p w14:paraId="7D4CAFAC" w14:textId="77777777" w:rsidR="00FB41D0" w:rsidRDefault="00FB41D0" w:rsidP="00750429">
      <w:pPr>
        <w:bidi/>
        <w:spacing w:after="0"/>
        <w:rPr>
          <w:rFonts w:asciiTheme="minorBidi" w:hAnsiTheme="minorBidi"/>
          <w:b/>
          <w:bCs/>
          <w:sz w:val="28"/>
          <w:szCs w:val="28"/>
          <w:rtl/>
        </w:rPr>
      </w:pPr>
    </w:p>
    <w:p w14:paraId="77665568" w14:textId="391F354D"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الدور غير المؤكد للعلاج المركب</w:t>
      </w:r>
    </w:p>
    <w:p w14:paraId="2BE77A6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مرضى الغسيل الذين يصعب ضبط الفوسفور لديهم، قد يكون العلاج المتزامن بنوعين من رابطات الفوسفات — مثل أوكسي هيدروكسيد الحديد السكروزي مع السيفيلامير أو أسيتات الكالسيوم — فعالاً</w:t>
      </w:r>
      <w:r w:rsidRPr="00750429">
        <w:rPr>
          <w:rFonts w:asciiTheme="minorBidi" w:hAnsiTheme="minorBidi"/>
          <w:sz w:val="28"/>
          <w:szCs w:val="28"/>
        </w:rPr>
        <w:t xml:space="preserve"> [102].</w:t>
      </w:r>
    </w:p>
    <w:p w14:paraId="6A50AD5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وتتمثل أهم سلبيات العلاج المركب برابطات الفوسفات في زيادة عدد الأقراص وقت الوجبات، والتكلفة، واحتمال زيادة الآثار الجانبية المعدية المعوية</w:t>
      </w:r>
      <w:r w:rsidRPr="00750429">
        <w:rPr>
          <w:rFonts w:asciiTheme="minorBidi" w:hAnsiTheme="minorBidi"/>
          <w:sz w:val="28"/>
          <w:szCs w:val="28"/>
        </w:rPr>
        <w:t>.</w:t>
      </w:r>
    </w:p>
    <w:p w14:paraId="739709E8" w14:textId="77777777" w:rsidR="00FB41D0" w:rsidRDefault="00FB41D0" w:rsidP="00FB41D0">
      <w:pPr>
        <w:bidi/>
        <w:spacing w:after="0"/>
        <w:rPr>
          <w:rFonts w:asciiTheme="minorBidi" w:hAnsiTheme="minorBidi"/>
          <w:sz w:val="28"/>
          <w:szCs w:val="28"/>
          <w:rtl/>
        </w:rPr>
      </w:pPr>
    </w:p>
    <w:p w14:paraId="4FD35893" w14:textId="77777777" w:rsidR="00FB41D0" w:rsidRDefault="00750429" w:rsidP="00FB41D0">
      <w:pPr>
        <w:bidi/>
        <w:spacing w:after="0"/>
        <w:rPr>
          <w:rFonts w:asciiTheme="minorBidi" w:hAnsiTheme="minorBidi"/>
          <w:sz w:val="28"/>
          <w:szCs w:val="28"/>
          <w:rtl/>
        </w:rPr>
      </w:pPr>
      <w:r w:rsidRPr="00750429">
        <w:rPr>
          <w:rFonts w:asciiTheme="minorBidi" w:hAnsiTheme="minorBidi"/>
          <w:b/>
          <w:bCs/>
          <w:sz w:val="28"/>
          <w:szCs w:val="28"/>
          <w:rtl/>
        </w:rPr>
        <w:t>عوامل أخرى</w:t>
      </w:r>
    </w:p>
    <w:p w14:paraId="03AAD332" w14:textId="77777777" w:rsidR="00FB41D0" w:rsidRDefault="00FB41D0" w:rsidP="00FB41D0">
      <w:pPr>
        <w:bidi/>
        <w:spacing w:after="0"/>
        <w:rPr>
          <w:rFonts w:asciiTheme="minorBidi" w:hAnsiTheme="minorBidi"/>
          <w:sz w:val="28"/>
          <w:szCs w:val="28"/>
          <w:rtl/>
        </w:rPr>
      </w:pPr>
    </w:p>
    <w:p w14:paraId="624F0984" w14:textId="79F9EA9F"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نيكوتيناميد</w:t>
      </w:r>
      <w:r w:rsidRPr="00750429">
        <w:rPr>
          <w:rFonts w:asciiTheme="minorBidi" w:hAnsiTheme="minorBidi"/>
          <w:b/>
          <w:bCs/>
          <w:sz w:val="28"/>
          <w:szCs w:val="28"/>
        </w:rPr>
        <w:t xml:space="preserve"> (Nicotinamide)</w:t>
      </w:r>
    </w:p>
    <w:p w14:paraId="0D2CF09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لا نستخدم النيكوتيناميد لخفض مستويات الفوسفور لدى مرضى</w:t>
      </w:r>
      <w:r w:rsidRPr="00750429">
        <w:rPr>
          <w:rFonts w:asciiTheme="minorBidi" w:hAnsiTheme="minorBidi"/>
          <w:sz w:val="28"/>
          <w:szCs w:val="28"/>
        </w:rPr>
        <w:t xml:space="preserve"> CKD.</w:t>
      </w:r>
    </w:p>
    <w:p w14:paraId="10175A7B"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قد يخفض النيكوتيناميد، وهو مستقلب لحمض النيكوتينيك — النياسين أو فيتامين</w:t>
      </w:r>
      <w:r w:rsidRPr="00750429">
        <w:rPr>
          <w:rFonts w:asciiTheme="minorBidi" w:hAnsiTheme="minorBidi"/>
          <w:sz w:val="28"/>
          <w:szCs w:val="28"/>
        </w:rPr>
        <w:t xml:space="preserve"> B3 — </w:t>
      </w:r>
      <w:r w:rsidRPr="00750429">
        <w:rPr>
          <w:rFonts w:asciiTheme="minorBidi" w:hAnsiTheme="minorBidi"/>
          <w:sz w:val="28"/>
          <w:szCs w:val="28"/>
          <w:rtl/>
        </w:rPr>
        <w:t>فوسفات المصل من خلال تقليل امتصاص الفوسفات من الجهاز الهضمي</w:t>
      </w:r>
      <w:r w:rsidRPr="00750429">
        <w:rPr>
          <w:rFonts w:asciiTheme="minorBidi" w:hAnsiTheme="minorBidi"/>
          <w:sz w:val="28"/>
          <w:szCs w:val="28"/>
        </w:rPr>
        <w:t xml:space="preserve"> [86،87].</w:t>
      </w:r>
    </w:p>
    <w:p w14:paraId="6AF6D0E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ومع ذلك، أظهرت التجارب العشوائية التي درست النيكوتيناميد كعلاج لخفض الفوسفات لدى 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 ومرضى الغسيل فعاليةً محدودةً، وتحملًا ضعيفاً، وبعض المخاوف المتعلقة بالسلامة</w:t>
      </w:r>
      <w:r w:rsidRPr="00750429">
        <w:rPr>
          <w:rFonts w:asciiTheme="minorBidi" w:hAnsiTheme="minorBidi"/>
          <w:sz w:val="28"/>
          <w:szCs w:val="28"/>
        </w:rPr>
        <w:t xml:space="preserve"> [103،104].</w:t>
      </w:r>
    </w:p>
    <w:p w14:paraId="19BA602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lastRenderedPageBreak/>
        <w:t>فعلى سبيل المثال، في تجربة عشوائية شملت أكثر من 700 مريض خاضع للغسيل الدموي ويستخدمون رابطات الفوسفات، أدى استخدام النيكوتيناميد كعلاج إضافي إلى خفض مستويات الفوسفات مقارنةً بالغفل بعد 24 أسبوعاً، إلا أن هذا التأثير لم يستمر عند 52 أسبوعاً من المتابعة</w:t>
      </w:r>
      <w:r w:rsidRPr="00750429">
        <w:rPr>
          <w:rFonts w:asciiTheme="minorBidi" w:hAnsiTheme="minorBidi"/>
          <w:sz w:val="28"/>
          <w:szCs w:val="28"/>
        </w:rPr>
        <w:t xml:space="preserve"> [104].</w:t>
      </w:r>
    </w:p>
    <w:p w14:paraId="1E069CD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إضافةً إلى ذلك، ارتبط علاج النيكوتيناميد بمعدلات أعلى من الآثار الجانبية، بما في ذلك الإسهال والحكة ونقص الصفيحات</w:t>
      </w:r>
      <w:r w:rsidRPr="00750429">
        <w:rPr>
          <w:rFonts w:asciiTheme="minorBidi" w:hAnsiTheme="minorBidi"/>
          <w:sz w:val="28"/>
          <w:szCs w:val="28"/>
        </w:rPr>
        <w:t>.</w:t>
      </w:r>
    </w:p>
    <w:p w14:paraId="5D0F5898" w14:textId="77777777" w:rsidR="00FB41D0" w:rsidRDefault="00FB41D0" w:rsidP="00750429">
      <w:pPr>
        <w:bidi/>
        <w:spacing w:after="0"/>
        <w:rPr>
          <w:rFonts w:asciiTheme="minorBidi" w:hAnsiTheme="minorBidi"/>
          <w:b/>
          <w:bCs/>
          <w:sz w:val="28"/>
          <w:szCs w:val="28"/>
          <w:rtl/>
        </w:rPr>
      </w:pPr>
    </w:p>
    <w:p w14:paraId="7EBBCF8D" w14:textId="4B74DB56"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هيدروكسيد الألمنيوم</w:t>
      </w:r>
      <w:r w:rsidRPr="00750429">
        <w:rPr>
          <w:rFonts w:asciiTheme="minorBidi" w:hAnsiTheme="minorBidi"/>
          <w:b/>
          <w:bCs/>
          <w:sz w:val="28"/>
          <w:szCs w:val="28"/>
        </w:rPr>
        <w:t xml:space="preserve"> (Aluminum hydroxide)</w:t>
      </w:r>
    </w:p>
    <w:p w14:paraId="0616403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لا نستخدم هيدروكسيد الألمنيوم لضبط الفوسفور على المدى الطويل لدى مرضى</w:t>
      </w:r>
      <w:r w:rsidRPr="00750429">
        <w:rPr>
          <w:rFonts w:asciiTheme="minorBidi" w:hAnsiTheme="minorBidi"/>
          <w:sz w:val="28"/>
          <w:szCs w:val="28"/>
        </w:rPr>
        <w:t xml:space="preserve"> CKD.</w:t>
      </w:r>
    </w:p>
    <w:p w14:paraId="1EA98E4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هيدروكسيد الألمنيوم فعال في ضبط فوسفور المصل، إلا أن سلامة رابطات الفوسفات القائمة على الألمنيوم في</w:t>
      </w:r>
      <w:r w:rsidRPr="00750429">
        <w:rPr>
          <w:rFonts w:asciiTheme="minorBidi" w:hAnsiTheme="minorBidi"/>
          <w:sz w:val="28"/>
          <w:szCs w:val="28"/>
        </w:rPr>
        <w:t xml:space="preserve"> CKD </w:t>
      </w:r>
      <w:r w:rsidRPr="00750429">
        <w:rPr>
          <w:rFonts w:asciiTheme="minorBidi" w:hAnsiTheme="minorBidi"/>
          <w:sz w:val="28"/>
          <w:szCs w:val="28"/>
          <w:rtl/>
        </w:rPr>
        <w:t>لم تُثبت</w:t>
      </w:r>
      <w:r w:rsidRPr="00750429">
        <w:rPr>
          <w:rFonts w:asciiTheme="minorBidi" w:hAnsiTheme="minorBidi"/>
          <w:sz w:val="28"/>
          <w:szCs w:val="28"/>
        </w:rPr>
        <w:t>.</w:t>
      </w:r>
    </w:p>
    <w:p w14:paraId="69C380D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يؤدي التعرض المفرط للألمنيوم لدى مرضى</w:t>
      </w:r>
      <w:r w:rsidRPr="00750429">
        <w:rPr>
          <w:rFonts w:asciiTheme="minorBidi" w:hAnsiTheme="minorBidi"/>
          <w:sz w:val="28"/>
          <w:szCs w:val="28"/>
        </w:rPr>
        <w:t xml:space="preserve"> CKD </w:t>
      </w:r>
      <w:r w:rsidRPr="00750429">
        <w:rPr>
          <w:rFonts w:asciiTheme="minorBidi" w:hAnsiTheme="minorBidi"/>
          <w:sz w:val="28"/>
          <w:szCs w:val="28"/>
          <w:rtl/>
        </w:rPr>
        <w:t>إلى سمية الألمنيوم</w:t>
      </w:r>
      <w:r w:rsidRPr="00750429">
        <w:rPr>
          <w:rFonts w:asciiTheme="minorBidi" w:hAnsiTheme="minorBidi"/>
          <w:sz w:val="28"/>
          <w:szCs w:val="28"/>
        </w:rPr>
        <w:t>.</w:t>
      </w:r>
    </w:p>
    <w:p w14:paraId="0C32DCE0"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وتتمثل المظاهر الرئيسية لسمية الألمنيوم في تلين العظام المقاوم لفيتامين</w:t>
      </w:r>
      <w:r w:rsidRPr="00750429">
        <w:rPr>
          <w:rFonts w:asciiTheme="minorBidi" w:hAnsiTheme="minorBidi"/>
          <w:sz w:val="28"/>
          <w:szCs w:val="28"/>
        </w:rPr>
        <w:t xml:space="preserve"> D</w:t>
      </w:r>
      <w:r w:rsidRPr="00750429">
        <w:rPr>
          <w:rFonts w:asciiTheme="minorBidi" w:hAnsiTheme="minorBidi"/>
          <w:sz w:val="28"/>
          <w:szCs w:val="28"/>
          <w:rtl/>
        </w:rPr>
        <w:t>، وفقر الدم صغير الكريات، وآلام العظام والعضلات، والخرف</w:t>
      </w:r>
      <w:r w:rsidRPr="00750429">
        <w:rPr>
          <w:rFonts w:asciiTheme="minorBidi" w:hAnsiTheme="minorBidi"/>
          <w:sz w:val="28"/>
          <w:szCs w:val="28"/>
        </w:rPr>
        <w:t>.</w:t>
      </w:r>
    </w:p>
    <w:p w14:paraId="4E9CDE1A" w14:textId="77777777" w:rsidR="00FB41D0" w:rsidRDefault="00FB41D0" w:rsidP="00750429">
      <w:pPr>
        <w:bidi/>
        <w:spacing w:after="0"/>
        <w:rPr>
          <w:rFonts w:asciiTheme="minorBidi" w:hAnsiTheme="minorBidi"/>
          <w:b/>
          <w:bCs/>
          <w:sz w:val="28"/>
          <w:szCs w:val="28"/>
          <w:rtl/>
        </w:rPr>
      </w:pPr>
    </w:p>
    <w:p w14:paraId="16504143" w14:textId="30C69DB4"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سترات الكالسيوم</w:t>
      </w:r>
      <w:r w:rsidRPr="00750429">
        <w:rPr>
          <w:rFonts w:asciiTheme="minorBidi" w:hAnsiTheme="minorBidi"/>
          <w:b/>
          <w:bCs/>
          <w:sz w:val="28"/>
          <w:szCs w:val="28"/>
        </w:rPr>
        <w:t xml:space="preserve"> (Calcium citrate)</w:t>
      </w:r>
    </w:p>
    <w:p w14:paraId="1FE4708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استُخدمت سترات الكالسيوم كرابط للفوسفات</w:t>
      </w:r>
      <w:r w:rsidRPr="00750429">
        <w:rPr>
          <w:rFonts w:asciiTheme="minorBidi" w:hAnsiTheme="minorBidi"/>
          <w:sz w:val="28"/>
          <w:szCs w:val="28"/>
        </w:rPr>
        <w:t>.</w:t>
      </w:r>
    </w:p>
    <w:p w14:paraId="19BE701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وينبغي تجنب سترات الكالسيوم لدى جميع مرضى</w:t>
      </w:r>
      <w:r w:rsidRPr="00750429">
        <w:rPr>
          <w:rFonts w:asciiTheme="minorBidi" w:hAnsiTheme="minorBidi"/>
          <w:sz w:val="28"/>
          <w:szCs w:val="28"/>
        </w:rPr>
        <w:t xml:space="preserve"> CKD</w:t>
      </w:r>
      <w:r w:rsidRPr="00750429">
        <w:rPr>
          <w:rFonts w:asciiTheme="minorBidi" w:hAnsiTheme="minorBidi"/>
          <w:sz w:val="28"/>
          <w:szCs w:val="28"/>
          <w:rtl/>
        </w:rPr>
        <w:t>، لأن السترات يمكن أن تزيد امتصاص الألمنيوم المعوي بدرجة كبيرة</w:t>
      </w:r>
      <w:r w:rsidRPr="00750429">
        <w:rPr>
          <w:rFonts w:asciiTheme="minorBidi" w:hAnsiTheme="minorBidi"/>
          <w:sz w:val="28"/>
          <w:szCs w:val="28"/>
        </w:rPr>
        <w:t xml:space="preserve"> [105،106].</w:t>
      </w:r>
    </w:p>
    <w:p w14:paraId="39DF1C4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وقد ارتبط استخدام سترات الكالسيوم بالسمية العصبية للألمنيوم وبحدوث سريع لتلين العظام العرضي</w:t>
      </w:r>
      <w:r w:rsidRPr="00750429">
        <w:rPr>
          <w:rFonts w:asciiTheme="minorBidi" w:hAnsiTheme="minorBidi"/>
          <w:sz w:val="28"/>
          <w:szCs w:val="28"/>
        </w:rPr>
        <w:t xml:space="preserve"> [107].</w:t>
      </w:r>
    </w:p>
    <w:p w14:paraId="3F4C247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ويبدو أن السترات تزيد امتصاص الألمنيوم بطريقتين: أولاً، من خلال إبقاء الألمنيوم في صورة قابلة للذوبان عبر تكوين سترات الألمنيوم داخل لمعة الأمعاء؛ وثانياً، من خلال الارتباط بالكالسيوم الموجود في اللمعة</w:t>
      </w:r>
      <w:r w:rsidRPr="00750429">
        <w:rPr>
          <w:rFonts w:asciiTheme="minorBidi" w:hAnsiTheme="minorBidi"/>
          <w:sz w:val="28"/>
          <w:szCs w:val="28"/>
        </w:rPr>
        <w:t xml:space="preserve"> [105،106].</w:t>
      </w:r>
    </w:p>
    <w:p w14:paraId="6720835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ويؤدي الانخفاض الناتج في الكالسيوم الحر إلى زيادة نفاذية الوصلات المحكمة بين الخلايا، مما قد يزيد بدرجة كبيرة الامتصاص السلبي للألمنيوم</w:t>
      </w:r>
      <w:r w:rsidRPr="00750429">
        <w:rPr>
          <w:rFonts w:asciiTheme="minorBidi" w:hAnsiTheme="minorBidi"/>
          <w:sz w:val="28"/>
          <w:szCs w:val="28"/>
        </w:rPr>
        <w:t xml:space="preserve"> [105،106].</w:t>
      </w:r>
    </w:p>
    <w:p w14:paraId="0A1ACAD6" w14:textId="77777777" w:rsidR="00FB41D0" w:rsidRDefault="00FB41D0" w:rsidP="00750429">
      <w:pPr>
        <w:bidi/>
        <w:spacing w:after="0"/>
        <w:rPr>
          <w:rFonts w:asciiTheme="minorBidi" w:hAnsiTheme="minorBidi"/>
          <w:b/>
          <w:bCs/>
          <w:sz w:val="28"/>
          <w:szCs w:val="28"/>
          <w:rtl/>
        </w:rPr>
      </w:pPr>
    </w:p>
    <w:p w14:paraId="655B4F5C" w14:textId="0463F781"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الرابطات المحتوية على المغنيسيوم</w:t>
      </w:r>
    </w:p>
    <w:p w14:paraId="7B00637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يمكن للرابطات المحتوية على المغنيسيوم خفض فوسفور المصل لدى مرضى</w:t>
      </w:r>
      <w:r w:rsidRPr="00750429">
        <w:rPr>
          <w:rFonts w:asciiTheme="minorBidi" w:hAnsiTheme="minorBidi"/>
          <w:sz w:val="28"/>
          <w:szCs w:val="28"/>
        </w:rPr>
        <w:t xml:space="preserve"> CKD [108].</w:t>
      </w:r>
    </w:p>
    <w:p w14:paraId="58F40340"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إلا أننا نتجنب عموماً رابطات المغنيسيوم في</w:t>
      </w:r>
      <w:r w:rsidRPr="00750429">
        <w:rPr>
          <w:rFonts w:asciiTheme="minorBidi" w:hAnsiTheme="minorBidi"/>
          <w:sz w:val="28"/>
          <w:szCs w:val="28"/>
        </w:rPr>
        <w:t xml:space="preserve"> CKD </w:t>
      </w:r>
      <w:r w:rsidRPr="00750429">
        <w:rPr>
          <w:rFonts w:asciiTheme="minorBidi" w:hAnsiTheme="minorBidi"/>
          <w:sz w:val="28"/>
          <w:szCs w:val="28"/>
          <w:rtl/>
        </w:rPr>
        <w:t>بسبب خطر سمية المغنيسيوم</w:t>
      </w:r>
      <w:r w:rsidRPr="00750429">
        <w:rPr>
          <w:rFonts w:asciiTheme="minorBidi" w:hAnsiTheme="minorBidi"/>
          <w:sz w:val="28"/>
          <w:szCs w:val="28"/>
        </w:rPr>
        <w:t>.</w:t>
      </w:r>
    </w:p>
    <w:p w14:paraId="197A5D78" w14:textId="77777777" w:rsidR="00FB41D0" w:rsidRDefault="00FB41D0" w:rsidP="00750429">
      <w:pPr>
        <w:bidi/>
        <w:spacing w:after="0"/>
        <w:rPr>
          <w:rFonts w:asciiTheme="minorBidi" w:hAnsiTheme="minorBidi"/>
          <w:b/>
          <w:bCs/>
          <w:sz w:val="28"/>
          <w:szCs w:val="28"/>
          <w:rtl/>
        </w:rPr>
      </w:pPr>
    </w:p>
    <w:p w14:paraId="242D8B63" w14:textId="730171DF"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فوائد العلاج برابطات الفوسفات</w:t>
      </w:r>
    </w:p>
    <w:p w14:paraId="0249265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من غير المؤكد ما إذا كان استخدام رابطات الفوسفات يوفر فائدةً فيما يتعلق بنقاط النهاية السريرية المهمة</w:t>
      </w:r>
      <w:r w:rsidRPr="00750429">
        <w:rPr>
          <w:rFonts w:asciiTheme="minorBidi" w:hAnsiTheme="minorBidi"/>
          <w:sz w:val="28"/>
          <w:szCs w:val="28"/>
        </w:rPr>
        <w:t>.</w:t>
      </w:r>
    </w:p>
    <w:p w14:paraId="3D9A9FD5" w14:textId="77777777" w:rsidR="00FB41D0" w:rsidRDefault="00FB41D0" w:rsidP="00750429">
      <w:pPr>
        <w:bidi/>
        <w:spacing w:after="0"/>
        <w:rPr>
          <w:rFonts w:asciiTheme="minorBidi" w:hAnsiTheme="minorBidi"/>
          <w:b/>
          <w:bCs/>
          <w:sz w:val="28"/>
          <w:szCs w:val="28"/>
          <w:rtl/>
        </w:rPr>
      </w:pPr>
    </w:p>
    <w:p w14:paraId="4B50951F" w14:textId="066075FA"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المرضى غير الخاضعين للغسيل</w:t>
      </w:r>
    </w:p>
    <w:p w14:paraId="6D75A4F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المرضى المصابين بمرض الكلى المزمن غير الخاضعين للغسيل، قد يكون تأثير رابطات الفوسفات على مستويات فوسفور المصل متبايناً</w:t>
      </w:r>
      <w:r w:rsidRPr="00750429">
        <w:rPr>
          <w:rFonts w:asciiTheme="minorBidi" w:hAnsiTheme="minorBidi"/>
          <w:sz w:val="28"/>
          <w:szCs w:val="28"/>
        </w:rPr>
        <w:t>.</w:t>
      </w:r>
    </w:p>
    <w:p w14:paraId="5546C5B7"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في تجربة عشوائية، ارتبط استخدام رابطات الفوسفات، مقارنةً بالغفل، بانخفاض أكبر في فوسفات المصل وفي فوسفات البول خلال 24 ساعة بعد ثلاثة وستة وتسعة أشهر، رغم أن حجم التأثير كان صغيراً</w:t>
      </w:r>
      <w:r w:rsidRPr="00750429">
        <w:rPr>
          <w:rFonts w:asciiTheme="minorBidi" w:hAnsiTheme="minorBidi"/>
          <w:sz w:val="28"/>
          <w:szCs w:val="28"/>
        </w:rPr>
        <w:t xml:space="preserve"> [53].</w:t>
      </w:r>
    </w:p>
    <w:p w14:paraId="171BCEA1"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lastRenderedPageBreak/>
        <w:t>إضافةً إلى ذلك، ارتبط استخدام رابطات الفوسفات ببقاء قيمة</w:t>
      </w:r>
      <w:r w:rsidRPr="00750429">
        <w:rPr>
          <w:rFonts w:asciiTheme="minorBidi" w:hAnsiTheme="minorBidi"/>
          <w:sz w:val="28"/>
          <w:szCs w:val="28"/>
        </w:rPr>
        <w:t xml:space="preserve"> PTH </w:t>
      </w:r>
      <w:r w:rsidRPr="00750429">
        <w:rPr>
          <w:rFonts w:asciiTheme="minorBidi" w:hAnsiTheme="minorBidi"/>
          <w:sz w:val="28"/>
          <w:szCs w:val="28"/>
          <w:rtl/>
        </w:rPr>
        <w:t>مستقرةً، مقارنةً بارتفاعها في مجموعة الغفل</w:t>
      </w:r>
      <w:r w:rsidRPr="00750429">
        <w:rPr>
          <w:rFonts w:asciiTheme="minorBidi" w:hAnsiTheme="minorBidi"/>
          <w:sz w:val="28"/>
          <w:szCs w:val="28"/>
        </w:rPr>
        <w:t>.</w:t>
      </w:r>
    </w:p>
    <w:p w14:paraId="50EE2AF0"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ورغم أن بعض البيانات الرصدية تشير إلى أن العلاج برابطات الفوسفات قد يوفر فائدةً من حيث الوفيات لدى 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 [110]، فإن التجارب العشوائية لم تُظهر أن رابطات الفوسفات تؤثر في النتائج السريرية المهمة لدى هذه الفئة من المرضى</w:t>
      </w:r>
      <w:r w:rsidRPr="00750429">
        <w:rPr>
          <w:rFonts w:asciiTheme="minorBidi" w:hAnsiTheme="minorBidi"/>
          <w:sz w:val="28"/>
          <w:szCs w:val="28"/>
        </w:rPr>
        <w:t xml:space="preserve"> [109،111].</w:t>
      </w:r>
    </w:p>
    <w:p w14:paraId="465ADE46" w14:textId="77777777" w:rsidR="00FB41D0" w:rsidRDefault="00FB41D0" w:rsidP="00750429">
      <w:pPr>
        <w:bidi/>
        <w:spacing w:after="0"/>
        <w:rPr>
          <w:rFonts w:asciiTheme="minorBidi" w:hAnsiTheme="minorBidi"/>
          <w:b/>
          <w:bCs/>
          <w:sz w:val="28"/>
          <w:szCs w:val="28"/>
          <w:rtl/>
        </w:rPr>
      </w:pPr>
    </w:p>
    <w:p w14:paraId="5BF228AE" w14:textId="6FF28811"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المرضى الخاضعون للغسيل</w:t>
      </w:r>
    </w:p>
    <w:p w14:paraId="740F7FD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أشارت دراستان رصديتان إلى ارتباط رابطات الفوسفات بانخفاض الوفيات لدى مرضى الغسيل</w:t>
      </w:r>
      <w:r w:rsidRPr="00750429">
        <w:rPr>
          <w:rFonts w:asciiTheme="minorBidi" w:hAnsiTheme="minorBidi"/>
          <w:sz w:val="28"/>
          <w:szCs w:val="28"/>
        </w:rPr>
        <w:t>:</w:t>
      </w:r>
    </w:p>
    <w:p w14:paraId="11A832C6"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Pr>
        <w:t xml:space="preserve">• </w:t>
      </w:r>
      <w:r w:rsidRPr="00750429">
        <w:rPr>
          <w:rFonts w:asciiTheme="minorBidi" w:hAnsiTheme="minorBidi"/>
          <w:sz w:val="28"/>
          <w:szCs w:val="28"/>
          <w:rtl/>
        </w:rPr>
        <w:t>في دراسة رصدية مستقبلية لمرضى بدأوا الغسيل حديثاً وتوبعوا لمدة سنة، ارتبط استخدام رابطات الفوسفات بانخفاض الوفيات خلال سنة بنسبة 25</w:t>
      </w:r>
      <w:r w:rsidRPr="00750429">
        <w:rPr>
          <w:rFonts w:asciiTheme="minorBidi" w:hAnsiTheme="minorBidi"/>
          <w:sz w:val="28"/>
          <w:szCs w:val="28"/>
        </w:rPr>
        <w:t>% [112].</w:t>
      </w:r>
    </w:p>
    <w:p w14:paraId="7CB09D7C" w14:textId="77777777" w:rsidR="00750429" w:rsidRDefault="00750429" w:rsidP="00750429">
      <w:pPr>
        <w:bidi/>
        <w:spacing w:after="0"/>
        <w:rPr>
          <w:rFonts w:asciiTheme="minorBidi" w:hAnsiTheme="minorBidi"/>
          <w:sz w:val="28"/>
          <w:szCs w:val="28"/>
          <w:rtl/>
        </w:rPr>
      </w:pPr>
      <w:r w:rsidRPr="00750429">
        <w:rPr>
          <w:rFonts w:asciiTheme="minorBidi" w:hAnsiTheme="minorBidi"/>
          <w:sz w:val="28"/>
          <w:szCs w:val="28"/>
        </w:rPr>
        <w:t xml:space="preserve">• </w:t>
      </w:r>
      <w:r w:rsidRPr="00750429">
        <w:rPr>
          <w:rFonts w:asciiTheme="minorBidi" w:hAnsiTheme="minorBidi"/>
          <w:sz w:val="28"/>
          <w:szCs w:val="28"/>
          <w:rtl/>
        </w:rPr>
        <w:t>ومن بين 6797 مريضاً شاركوا في دراسة رصدية مستقبلية بعنوان</w:t>
      </w:r>
      <w:r w:rsidRPr="00750429">
        <w:rPr>
          <w:rFonts w:asciiTheme="minorBidi" w:hAnsiTheme="minorBidi"/>
          <w:sz w:val="28"/>
          <w:szCs w:val="28"/>
        </w:rPr>
        <w:t xml:space="preserve"> Current Management of Secondary Hyperparathyroidism: A Multicenter Observational Study </w:t>
      </w:r>
      <w:r w:rsidRPr="00750429">
        <w:rPr>
          <w:rFonts w:asciiTheme="minorBidi" w:hAnsiTheme="minorBidi"/>
          <w:sz w:val="28"/>
          <w:szCs w:val="28"/>
          <w:rtl/>
        </w:rPr>
        <w:t>‏</w:t>
      </w:r>
      <w:r w:rsidRPr="00750429">
        <w:rPr>
          <w:rFonts w:asciiTheme="minorBidi" w:hAnsiTheme="minorBidi"/>
          <w:sz w:val="28"/>
          <w:szCs w:val="28"/>
        </w:rPr>
        <w:t>(COSMOS)</w:t>
      </w:r>
      <w:r w:rsidRPr="00750429">
        <w:rPr>
          <w:rFonts w:asciiTheme="minorBidi" w:hAnsiTheme="minorBidi"/>
          <w:sz w:val="28"/>
          <w:szCs w:val="28"/>
          <w:rtl/>
        </w:rPr>
        <w:t>، كان لدى المرضى الذين وُصفت لهم رابطات الفوسفات انخفاض بنسبة 29% في خطر الوفيات الناجمة عن جميع الأسباب وانخفاض بنسبة 22% في خطر الوفيات القلبية الوعائية</w:t>
      </w:r>
      <w:r w:rsidRPr="00750429">
        <w:rPr>
          <w:rFonts w:asciiTheme="minorBidi" w:hAnsiTheme="minorBidi"/>
          <w:sz w:val="28"/>
          <w:szCs w:val="28"/>
        </w:rPr>
        <w:t xml:space="preserve"> [113].</w:t>
      </w:r>
    </w:p>
    <w:p w14:paraId="5FE50449" w14:textId="77777777" w:rsidR="00FB41D0" w:rsidRPr="00750429" w:rsidRDefault="00FB41D0" w:rsidP="00FB41D0">
      <w:pPr>
        <w:bidi/>
        <w:spacing w:after="0"/>
        <w:rPr>
          <w:rFonts w:asciiTheme="minorBidi" w:hAnsiTheme="minorBidi"/>
          <w:sz w:val="28"/>
          <w:szCs w:val="28"/>
        </w:rPr>
      </w:pPr>
    </w:p>
    <w:p w14:paraId="1E9689CC" w14:textId="77777777" w:rsidR="00750429" w:rsidRPr="00750429" w:rsidRDefault="00750429" w:rsidP="00750429">
      <w:pPr>
        <w:bidi/>
        <w:spacing w:after="0"/>
        <w:rPr>
          <w:rFonts w:asciiTheme="minorBidi" w:hAnsiTheme="minorBidi"/>
          <w:b/>
          <w:bCs/>
          <w:sz w:val="28"/>
          <w:szCs w:val="28"/>
        </w:rPr>
      </w:pPr>
      <w:r w:rsidRPr="00750429">
        <w:rPr>
          <w:rFonts w:asciiTheme="minorBidi" w:hAnsiTheme="minorBidi"/>
          <w:b/>
          <w:bCs/>
          <w:sz w:val="28"/>
          <w:szCs w:val="28"/>
          <w:rtl/>
        </w:rPr>
        <w:t>فرط فوسفات الدم المقاوم للعلاج</w:t>
      </w:r>
    </w:p>
    <w:p w14:paraId="10311262"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مرضى</w:t>
      </w:r>
      <w:r w:rsidRPr="00750429">
        <w:rPr>
          <w:rFonts w:asciiTheme="minorBidi" w:hAnsiTheme="minorBidi"/>
          <w:sz w:val="28"/>
          <w:szCs w:val="28"/>
        </w:rPr>
        <w:t xml:space="preserve"> CKD</w:t>
      </w:r>
      <w:r w:rsidRPr="00750429">
        <w:rPr>
          <w:rFonts w:asciiTheme="minorBidi" w:hAnsiTheme="minorBidi"/>
          <w:sz w:val="28"/>
          <w:szCs w:val="28"/>
          <w:rtl/>
        </w:rPr>
        <w:t>، يكون فرط فوسفات الدم أحياناً مقاوماً للتقييد الغذائي واستخدام رابطات الفوسفات، وقد لا يرغب مرضى الغسيل الدموي أو لا يستطيعون الخضوع لغسيل دموي متكرر أو مطول</w:t>
      </w:r>
      <w:r w:rsidRPr="00750429">
        <w:rPr>
          <w:rFonts w:asciiTheme="minorBidi" w:hAnsiTheme="minorBidi"/>
          <w:sz w:val="28"/>
          <w:szCs w:val="28"/>
        </w:rPr>
        <w:t>.</w:t>
      </w:r>
    </w:p>
    <w:p w14:paraId="5EBF4827" w14:textId="77777777" w:rsidR="00FB41D0" w:rsidRDefault="00FB41D0" w:rsidP="00750429">
      <w:pPr>
        <w:bidi/>
        <w:spacing w:after="0"/>
        <w:rPr>
          <w:rFonts w:asciiTheme="minorBidi" w:hAnsiTheme="minorBidi"/>
          <w:sz w:val="28"/>
          <w:szCs w:val="28"/>
          <w:rtl/>
        </w:rPr>
      </w:pPr>
    </w:p>
    <w:p w14:paraId="5A30AB09" w14:textId="6B3FE40C" w:rsidR="00FB41D0" w:rsidRPr="00FB41D0" w:rsidRDefault="00750429" w:rsidP="00FB41D0">
      <w:pPr>
        <w:bidi/>
        <w:spacing w:after="0"/>
        <w:rPr>
          <w:rFonts w:asciiTheme="minorBidi" w:hAnsiTheme="minorBidi"/>
          <w:sz w:val="28"/>
          <w:szCs w:val="28"/>
          <w:rtl/>
        </w:rPr>
      </w:pPr>
      <w:r w:rsidRPr="00750429">
        <w:rPr>
          <w:rFonts w:asciiTheme="minorBidi" w:hAnsiTheme="minorBidi"/>
          <w:sz w:val="28"/>
          <w:szCs w:val="28"/>
          <w:rtl/>
        </w:rPr>
        <w:t>وفي هؤلاء المرضى، يكون نهجنا التدريجي كما يلي</w:t>
      </w:r>
      <w:r w:rsidRPr="00750429">
        <w:rPr>
          <w:rFonts w:asciiTheme="minorBidi" w:hAnsiTheme="minorBidi"/>
          <w:sz w:val="28"/>
          <w:szCs w:val="28"/>
        </w:rPr>
        <w:t>:</w:t>
      </w:r>
    </w:p>
    <w:p w14:paraId="61AB9F46" w14:textId="6FE25DAD"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مراجعة علاج فرط نشاط جارات الدرق</w:t>
      </w:r>
    </w:p>
    <w:p w14:paraId="100A359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ينبغي مراجعة علاج فرط نشاط جارات الدرق، والذي يختلف باختلاف حالة المريض بالنسبة إلى الغسيل</w:t>
      </w:r>
      <w:r w:rsidRPr="00750429">
        <w:rPr>
          <w:rFonts w:asciiTheme="minorBidi" w:hAnsiTheme="minorBidi"/>
          <w:sz w:val="28"/>
          <w:szCs w:val="28"/>
        </w:rPr>
        <w:t>.</w:t>
      </w:r>
    </w:p>
    <w:p w14:paraId="72B7CB88" w14:textId="77777777" w:rsidR="00750429" w:rsidRPr="00750429" w:rsidRDefault="00750429" w:rsidP="00750429">
      <w:pPr>
        <w:bidi/>
        <w:spacing w:after="0"/>
        <w:rPr>
          <w:rFonts w:asciiTheme="minorBidi" w:hAnsiTheme="minorBidi"/>
          <w:b/>
          <w:bCs/>
          <w:sz w:val="28"/>
          <w:szCs w:val="28"/>
        </w:rPr>
      </w:pPr>
      <w:r w:rsidRPr="00750429">
        <w:rPr>
          <w:rFonts w:asciiTheme="minorBidi" w:hAnsiTheme="minorBidi"/>
          <w:b/>
          <w:bCs/>
          <w:sz w:val="28"/>
          <w:szCs w:val="28"/>
          <w:rtl/>
        </w:rPr>
        <w:t>المرضى غير الخاضعين للغسيل</w:t>
      </w:r>
    </w:p>
    <w:p w14:paraId="1008182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نحن عموماً لا نعطي الكالسيتريول</w:t>
      </w:r>
      <w:r w:rsidRPr="00750429">
        <w:rPr>
          <w:rFonts w:asciiTheme="minorBidi" w:hAnsiTheme="minorBidi"/>
          <w:sz w:val="28"/>
          <w:szCs w:val="28"/>
        </w:rPr>
        <w:t xml:space="preserve"> (Calcitriol) </w:t>
      </w:r>
      <w:r w:rsidRPr="00750429">
        <w:rPr>
          <w:rFonts w:asciiTheme="minorBidi" w:hAnsiTheme="minorBidi"/>
          <w:sz w:val="28"/>
          <w:szCs w:val="28"/>
          <w:rtl/>
        </w:rPr>
        <w:t>أو نظائر فيتامين</w:t>
      </w:r>
      <w:r w:rsidRPr="00750429">
        <w:rPr>
          <w:rFonts w:asciiTheme="minorBidi" w:hAnsiTheme="minorBidi"/>
          <w:sz w:val="28"/>
          <w:szCs w:val="28"/>
        </w:rPr>
        <w:t xml:space="preserve"> D </w:t>
      </w:r>
      <w:r w:rsidRPr="00750429">
        <w:rPr>
          <w:rFonts w:asciiTheme="minorBidi" w:hAnsiTheme="minorBidi"/>
          <w:sz w:val="28"/>
          <w:szCs w:val="28"/>
          <w:rtl/>
        </w:rPr>
        <w:t>الفعالة للمرضى المصابين بمرض الكلى المزمن غير الخاضعين للغسيل والذين يعانون فرط فوسفات الدم، لأن هذه الأدوية تزيد امتصاص الفوسفات من الجهاز الهضمي</w:t>
      </w:r>
      <w:r w:rsidRPr="00750429">
        <w:rPr>
          <w:rFonts w:asciiTheme="minorBidi" w:hAnsiTheme="minorBidi"/>
          <w:sz w:val="28"/>
          <w:szCs w:val="28"/>
        </w:rPr>
        <w:t>.</w:t>
      </w:r>
    </w:p>
    <w:p w14:paraId="2193011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كما لا نستخدم محاكيات الكالسيوم، مثل سيناكالسيت</w:t>
      </w:r>
      <w:r w:rsidRPr="00750429">
        <w:rPr>
          <w:rFonts w:asciiTheme="minorBidi" w:hAnsiTheme="minorBidi"/>
          <w:sz w:val="28"/>
          <w:szCs w:val="28"/>
        </w:rPr>
        <w:t xml:space="preserve"> (Cinacalcet)</w:t>
      </w:r>
      <w:r w:rsidRPr="00750429">
        <w:rPr>
          <w:rFonts w:asciiTheme="minorBidi" w:hAnsiTheme="minorBidi"/>
          <w:sz w:val="28"/>
          <w:szCs w:val="28"/>
          <w:rtl/>
        </w:rPr>
        <w:t>، لخفض</w:t>
      </w:r>
      <w:r w:rsidRPr="00750429">
        <w:rPr>
          <w:rFonts w:asciiTheme="minorBidi" w:hAnsiTheme="minorBidi"/>
          <w:sz w:val="28"/>
          <w:szCs w:val="28"/>
        </w:rPr>
        <w:t xml:space="preserve"> PTH </w:t>
      </w:r>
      <w:r w:rsidRPr="00750429">
        <w:rPr>
          <w:rFonts w:asciiTheme="minorBidi" w:hAnsiTheme="minorBidi"/>
          <w:sz w:val="28"/>
          <w:szCs w:val="28"/>
          <w:rtl/>
        </w:rPr>
        <w:t>لدى مرضى</w:t>
      </w:r>
      <w:r w:rsidRPr="00750429">
        <w:rPr>
          <w:rFonts w:asciiTheme="minorBidi" w:hAnsiTheme="minorBidi"/>
          <w:sz w:val="28"/>
          <w:szCs w:val="28"/>
        </w:rPr>
        <w:t xml:space="preserve"> CKD </w:t>
      </w:r>
      <w:r w:rsidRPr="00750429">
        <w:rPr>
          <w:rFonts w:asciiTheme="minorBidi" w:hAnsiTheme="minorBidi"/>
          <w:sz w:val="28"/>
          <w:szCs w:val="28"/>
          <w:rtl/>
        </w:rPr>
        <w:t>غير الخاضعين للغسيل</w:t>
      </w:r>
      <w:r w:rsidRPr="00750429">
        <w:rPr>
          <w:rFonts w:asciiTheme="minorBidi" w:hAnsiTheme="minorBidi"/>
          <w:sz w:val="28"/>
          <w:szCs w:val="28"/>
        </w:rPr>
        <w:t>.</w:t>
      </w:r>
    </w:p>
    <w:p w14:paraId="19439FCC" w14:textId="77777777" w:rsidR="00FB41D0" w:rsidRDefault="00FB41D0" w:rsidP="00750429">
      <w:pPr>
        <w:bidi/>
        <w:spacing w:after="0"/>
        <w:rPr>
          <w:rFonts w:asciiTheme="minorBidi" w:hAnsiTheme="minorBidi"/>
          <w:b/>
          <w:bCs/>
          <w:sz w:val="28"/>
          <w:szCs w:val="28"/>
          <w:rtl/>
        </w:rPr>
      </w:pPr>
    </w:p>
    <w:p w14:paraId="1F9E5575" w14:textId="0D1C7F12"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المرضى الخاضعون للغسيل</w:t>
      </w:r>
    </w:p>
    <w:p w14:paraId="18412B8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مرضى الغسيل الذين يعانون فرط فوسفات الدم المقاوم للعلاج ويتلقون علاجاً لفرط نشاط جارات الدرق، نستخدم محاكيات الكالسيوم لكبح</w:t>
      </w:r>
      <w:r w:rsidRPr="00750429">
        <w:rPr>
          <w:rFonts w:asciiTheme="minorBidi" w:hAnsiTheme="minorBidi"/>
          <w:sz w:val="28"/>
          <w:szCs w:val="28"/>
        </w:rPr>
        <w:t xml:space="preserve"> PTH </w:t>
      </w:r>
      <w:r w:rsidRPr="00750429">
        <w:rPr>
          <w:rFonts w:asciiTheme="minorBidi" w:hAnsiTheme="minorBidi"/>
          <w:sz w:val="28"/>
          <w:szCs w:val="28"/>
          <w:rtl/>
        </w:rPr>
        <w:t>وتقليل استخدام الكالسيتريول أو نظائر فيتامين</w:t>
      </w:r>
      <w:r w:rsidRPr="00750429">
        <w:rPr>
          <w:rFonts w:asciiTheme="minorBidi" w:hAnsiTheme="minorBidi"/>
          <w:sz w:val="28"/>
          <w:szCs w:val="28"/>
        </w:rPr>
        <w:t xml:space="preserve"> D </w:t>
      </w:r>
      <w:r w:rsidRPr="00750429">
        <w:rPr>
          <w:rFonts w:asciiTheme="minorBidi" w:hAnsiTheme="minorBidi"/>
          <w:sz w:val="28"/>
          <w:szCs w:val="28"/>
          <w:rtl/>
        </w:rPr>
        <w:t>الفعالة إلى الحد الأدنى</w:t>
      </w:r>
      <w:r w:rsidRPr="00750429">
        <w:rPr>
          <w:rFonts w:asciiTheme="minorBidi" w:hAnsiTheme="minorBidi"/>
          <w:sz w:val="28"/>
          <w:szCs w:val="28"/>
        </w:rPr>
        <w:t>.</w:t>
      </w:r>
    </w:p>
    <w:p w14:paraId="172F41C5"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مرضى الغسيل، يمكن لكل من فرط نشاط جارات الدرق المعالَج بشكل غير كافٍ واستخدام جرعات عالية من الكالسيتريول أو نظائر فيتامين</w:t>
      </w:r>
      <w:r w:rsidRPr="00750429">
        <w:rPr>
          <w:rFonts w:asciiTheme="minorBidi" w:hAnsiTheme="minorBidi"/>
          <w:sz w:val="28"/>
          <w:szCs w:val="28"/>
        </w:rPr>
        <w:t xml:space="preserve"> D </w:t>
      </w:r>
      <w:r w:rsidRPr="00750429">
        <w:rPr>
          <w:rFonts w:asciiTheme="minorBidi" w:hAnsiTheme="minorBidi"/>
          <w:sz w:val="28"/>
          <w:szCs w:val="28"/>
          <w:rtl/>
        </w:rPr>
        <w:t>الفعالة أن يساهما في فرط فوسفات الدم عبر آليات مختلفة</w:t>
      </w:r>
      <w:r w:rsidRPr="00750429">
        <w:rPr>
          <w:rFonts w:asciiTheme="minorBidi" w:hAnsiTheme="minorBidi"/>
          <w:sz w:val="28"/>
          <w:szCs w:val="28"/>
        </w:rPr>
        <w:t>.</w:t>
      </w:r>
    </w:p>
    <w:p w14:paraId="0AFADBBE"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فالمستويات المرتفعة من</w:t>
      </w:r>
      <w:r w:rsidRPr="00750429">
        <w:rPr>
          <w:rFonts w:asciiTheme="minorBidi" w:hAnsiTheme="minorBidi"/>
          <w:sz w:val="28"/>
          <w:szCs w:val="28"/>
        </w:rPr>
        <w:t xml:space="preserve"> PTH </w:t>
      </w:r>
      <w:r w:rsidRPr="00750429">
        <w:rPr>
          <w:rFonts w:asciiTheme="minorBidi" w:hAnsiTheme="minorBidi"/>
          <w:sz w:val="28"/>
          <w:szCs w:val="28"/>
          <w:rtl/>
        </w:rPr>
        <w:t>تزيد ارتشاف العظم وتحرير الفوسفات من العظام [114]، بينما تزيد الأشكال الفعالة من فيتامين</w:t>
      </w:r>
      <w:r w:rsidRPr="00750429">
        <w:rPr>
          <w:rFonts w:asciiTheme="minorBidi" w:hAnsiTheme="minorBidi"/>
          <w:sz w:val="28"/>
          <w:szCs w:val="28"/>
        </w:rPr>
        <w:t xml:space="preserve"> D </w:t>
      </w:r>
      <w:r w:rsidRPr="00750429">
        <w:rPr>
          <w:rFonts w:asciiTheme="minorBidi" w:hAnsiTheme="minorBidi"/>
          <w:sz w:val="28"/>
          <w:szCs w:val="28"/>
          <w:rtl/>
        </w:rPr>
        <w:t>امتصاص الفوسفات من الجهاز الهضمي</w:t>
      </w:r>
      <w:r w:rsidRPr="00750429">
        <w:rPr>
          <w:rFonts w:asciiTheme="minorBidi" w:hAnsiTheme="minorBidi"/>
          <w:sz w:val="28"/>
          <w:szCs w:val="28"/>
        </w:rPr>
        <w:t>.</w:t>
      </w:r>
    </w:p>
    <w:p w14:paraId="499CD3C7" w14:textId="77777777" w:rsidR="00FB41D0" w:rsidRDefault="00FB41D0" w:rsidP="00750429">
      <w:pPr>
        <w:bidi/>
        <w:spacing w:after="0"/>
        <w:rPr>
          <w:rFonts w:asciiTheme="minorBidi" w:hAnsiTheme="minorBidi"/>
          <w:b/>
          <w:bCs/>
          <w:sz w:val="28"/>
          <w:szCs w:val="28"/>
          <w:rtl/>
        </w:rPr>
      </w:pPr>
    </w:p>
    <w:p w14:paraId="54CCABD7" w14:textId="525608CF" w:rsidR="00750429" w:rsidRPr="00750429" w:rsidRDefault="00750429" w:rsidP="00FB41D0">
      <w:pPr>
        <w:bidi/>
        <w:spacing w:after="0"/>
        <w:rPr>
          <w:rFonts w:asciiTheme="minorBidi" w:hAnsiTheme="minorBidi"/>
          <w:b/>
          <w:bCs/>
          <w:sz w:val="28"/>
          <w:szCs w:val="28"/>
        </w:rPr>
      </w:pPr>
      <w:r w:rsidRPr="00750429">
        <w:rPr>
          <w:rFonts w:asciiTheme="minorBidi" w:hAnsiTheme="minorBidi"/>
          <w:b/>
          <w:bCs/>
          <w:sz w:val="28"/>
          <w:szCs w:val="28"/>
          <w:rtl/>
        </w:rPr>
        <w:t>إضافة تينابانور لدى مرضى الغسيل</w:t>
      </w:r>
    </w:p>
    <w:p w14:paraId="4AE92A33"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lastRenderedPageBreak/>
        <w:t xml:space="preserve">لدى المرضى الذين يتلقون غسيلاً كافياً والذين تبقى مستويات فوسفور المصل لديهم بصورة مستمرة </w:t>
      </w:r>
      <w:r w:rsidRPr="00750429">
        <w:rPr>
          <w:rFonts w:asciiTheme="minorBidi" w:hAnsiTheme="minorBidi"/>
          <w:sz w:val="28"/>
          <w:szCs w:val="28"/>
        </w:rPr>
        <w:t xml:space="preserve">&gt;5.5 mg/dL </w:t>
      </w:r>
      <w:r w:rsidRPr="00750429">
        <w:rPr>
          <w:rFonts w:asciiTheme="minorBidi" w:hAnsiTheme="minorBidi"/>
          <w:sz w:val="28"/>
          <w:szCs w:val="28"/>
          <w:rtl/>
        </w:rPr>
        <w:t>رغم التقييد الغذائي، والعلاج الأمثل لفرط نشاط جارات الدرق، والاستخدام المناسب لرابطات الفوسفات، نقترح إضافة تينابانور</w:t>
      </w:r>
      <w:r w:rsidRPr="00750429">
        <w:rPr>
          <w:rFonts w:asciiTheme="minorBidi" w:hAnsiTheme="minorBidi"/>
          <w:sz w:val="28"/>
          <w:szCs w:val="28"/>
        </w:rPr>
        <w:t xml:space="preserve"> (Tenapanor) </w:t>
      </w:r>
      <w:r w:rsidRPr="00750429">
        <w:rPr>
          <w:rFonts w:asciiTheme="minorBidi" w:hAnsiTheme="minorBidi"/>
          <w:sz w:val="28"/>
          <w:szCs w:val="28"/>
          <w:rtl/>
        </w:rPr>
        <w:t>إلى النظام العلاجي</w:t>
      </w:r>
      <w:r w:rsidRPr="00750429">
        <w:rPr>
          <w:rFonts w:asciiTheme="minorBidi" w:hAnsiTheme="minorBidi"/>
          <w:sz w:val="28"/>
          <w:szCs w:val="28"/>
        </w:rPr>
        <w:t>.</w:t>
      </w:r>
    </w:p>
    <w:p w14:paraId="6E04D13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تينابانور هو مثبط للمبادل المعوي للصوديوم/الهيدروجين من النمط 3 ‏</w:t>
      </w:r>
      <w:r w:rsidRPr="00750429">
        <w:rPr>
          <w:rFonts w:asciiTheme="minorBidi" w:hAnsiTheme="minorBidi"/>
          <w:sz w:val="28"/>
          <w:szCs w:val="28"/>
        </w:rPr>
        <w:t>(NHE3)</w:t>
      </w:r>
      <w:r w:rsidRPr="00750429">
        <w:rPr>
          <w:rFonts w:asciiTheme="minorBidi" w:hAnsiTheme="minorBidi"/>
          <w:sz w:val="28"/>
          <w:szCs w:val="28"/>
          <w:rtl/>
        </w:rPr>
        <w:t>، وقد طُوِّر لعلاج متلازمة القولون العصبي المصحوبة بالإمساك، إلا أنه وُجد أيضاً أنه يخفض فوسفات المصل من خلال منع انتقاله بين الخلايا من لمعة الأمعاء</w:t>
      </w:r>
      <w:r w:rsidRPr="00750429">
        <w:rPr>
          <w:rFonts w:asciiTheme="minorBidi" w:hAnsiTheme="minorBidi"/>
          <w:sz w:val="28"/>
          <w:szCs w:val="28"/>
        </w:rPr>
        <w:t xml:space="preserve"> [88].</w:t>
      </w:r>
    </w:p>
    <w:p w14:paraId="49DB6AB9"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ونظراً إلى عدم وجود بيانات تثبت أن خفض الفوسفات إلى 5.5</w:t>
      </w:r>
      <w:r w:rsidRPr="00750429">
        <w:rPr>
          <w:rFonts w:asciiTheme="minorBidi" w:hAnsiTheme="minorBidi"/>
          <w:sz w:val="28"/>
          <w:szCs w:val="28"/>
        </w:rPr>
        <w:t xml:space="preserve"> mg/dL </w:t>
      </w:r>
      <w:r w:rsidRPr="00750429">
        <w:rPr>
          <w:rFonts w:asciiTheme="minorBidi" w:hAnsiTheme="minorBidi"/>
          <w:sz w:val="28"/>
          <w:szCs w:val="28"/>
          <w:rtl/>
        </w:rPr>
        <w:t xml:space="preserve">أو أقل يحسن النتائج السريرية، يستخدم بعض الخبراء مستويات أعلى من فوسفور المصل، مثل </w:t>
      </w:r>
      <w:r w:rsidRPr="00750429">
        <w:rPr>
          <w:rFonts w:asciiTheme="minorBidi" w:hAnsiTheme="minorBidi"/>
          <w:sz w:val="28"/>
          <w:szCs w:val="28"/>
        </w:rPr>
        <w:t>&gt;6.5 mg/dL</w:t>
      </w:r>
      <w:r w:rsidRPr="00750429">
        <w:rPr>
          <w:rFonts w:asciiTheme="minorBidi" w:hAnsiTheme="minorBidi"/>
          <w:sz w:val="28"/>
          <w:szCs w:val="28"/>
          <w:rtl/>
        </w:rPr>
        <w:t>، كعتبة لإضافة تينابانور</w:t>
      </w:r>
      <w:r w:rsidRPr="00750429">
        <w:rPr>
          <w:rFonts w:asciiTheme="minorBidi" w:hAnsiTheme="minorBidi"/>
          <w:sz w:val="28"/>
          <w:szCs w:val="28"/>
        </w:rPr>
        <w:t>.</w:t>
      </w:r>
    </w:p>
    <w:p w14:paraId="019A0E28"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يتراوح المجال المعتاد لجرعة تينابانور بين 10 و30</w:t>
      </w:r>
      <w:r w:rsidRPr="00750429">
        <w:rPr>
          <w:rFonts w:asciiTheme="minorBidi" w:hAnsiTheme="minorBidi"/>
          <w:sz w:val="28"/>
          <w:szCs w:val="28"/>
        </w:rPr>
        <w:t xml:space="preserve"> mg </w:t>
      </w:r>
      <w:r w:rsidRPr="00750429">
        <w:rPr>
          <w:rFonts w:asciiTheme="minorBidi" w:hAnsiTheme="minorBidi"/>
          <w:sz w:val="28"/>
          <w:szCs w:val="28"/>
          <w:rtl/>
        </w:rPr>
        <w:t>مرتين يومياً</w:t>
      </w:r>
      <w:r w:rsidRPr="00750429">
        <w:rPr>
          <w:rFonts w:asciiTheme="minorBidi" w:hAnsiTheme="minorBidi"/>
          <w:sz w:val="28"/>
          <w:szCs w:val="28"/>
        </w:rPr>
        <w:t>.</w:t>
      </w:r>
    </w:p>
    <w:p w14:paraId="0E1DCAEF"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والأثر الجانبي الرئيسي لتينابانور هو زيادة تواتر التبرز، ويُعتقد أن ذلك ناجم عن زيادة محتوى الماء في البراز</w:t>
      </w:r>
      <w:r w:rsidRPr="00750429">
        <w:rPr>
          <w:rFonts w:asciiTheme="minorBidi" w:hAnsiTheme="minorBidi"/>
          <w:sz w:val="28"/>
          <w:szCs w:val="28"/>
        </w:rPr>
        <w:t>.</w:t>
      </w:r>
    </w:p>
    <w:p w14:paraId="27FEE15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ويحدث الإسهال لدى نحو نصف المرضى المعالجين بتينابانور [115]، إلا أنه لا يكون شديداً عادةً؛ ويؤدي الإسهال إلى إيقاف الدواء لدى نحو 5% من المرضى</w:t>
      </w:r>
      <w:r w:rsidRPr="00750429">
        <w:rPr>
          <w:rFonts w:asciiTheme="minorBidi" w:hAnsiTheme="minorBidi"/>
          <w:sz w:val="28"/>
          <w:szCs w:val="28"/>
        </w:rPr>
        <w:t>.</w:t>
      </w:r>
    </w:p>
    <w:p w14:paraId="78183DAE"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لدى مرضى الغسيل الدموي، أظهرت تجارب متعددة أن تينابانور يخفض الفوسفور بدرجة متوسطة</w:t>
      </w:r>
      <w:r w:rsidRPr="00750429">
        <w:rPr>
          <w:rFonts w:asciiTheme="minorBidi" w:hAnsiTheme="minorBidi"/>
          <w:sz w:val="28"/>
          <w:szCs w:val="28"/>
        </w:rPr>
        <w:t xml:space="preserve"> [116–122].</w:t>
      </w:r>
    </w:p>
    <w:p w14:paraId="550327B2" w14:textId="20754652"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وفي تحليل للتجارب العشوائية، أدى العلاج بتينابانور مقارنةً بالغفل إلى انخفاض متوسط في فوسفور المصل مقداره 1.79</w:t>
      </w:r>
      <w:r w:rsidRPr="00750429">
        <w:rPr>
          <w:rFonts w:asciiTheme="minorBidi" w:hAnsiTheme="minorBidi"/>
          <w:sz w:val="28"/>
          <w:szCs w:val="28"/>
        </w:rPr>
        <w:t xml:space="preserve"> mg/dL [115].</w:t>
      </w:r>
    </w:p>
    <w:p w14:paraId="7516B40C"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وفي تجربة نموذجية، وُزّع عشوائياً 169 مريضاً خاضعاً للغسيل الدموي ويعانون فرط فوسفات الدم رغم العلاج بواحد أو أكثر من رابطات الفوسفات إلى تينابانور أو الغفل، مع استمرار رابطات الفوسفات في المجموعتين</w:t>
      </w:r>
      <w:r w:rsidRPr="00750429">
        <w:rPr>
          <w:rFonts w:asciiTheme="minorBidi" w:hAnsiTheme="minorBidi"/>
          <w:sz w:val="28"/>
          <w:szCs w:val="28"/>
        </w:rPr>
        <w:t xml:space="preserve"> [120].</w:t>
      </w:r>
    </w:p>
    <w:p w14:paraId="03062F24" w14:textId="77777777" w:rsidR="00750429" w:rsidRPr="00750429" w:rsidRDefault="00750429" w:rsidP="00750429">
      <w:pPr>
        <w:bidi/>
        <w:spacing w:after="0"/>
        <w:rPr>
          <w:rFonts w:asciiTheme="minorBidi" w:hAnsiTheme="minorBidi"/>
          <w:sz w:val="28"/>
          <w:szCs w:val="28"/>
        </w:rPr>
      </w:pPr>
      <w:r w:rsidRPr="00750429">
        <w:rPr>
          <w:rFonts w:asciiTheme="minorBidi" w:hAnsiTheme="minorBidi"/>
          <w:sz w:val="28"/>
          <w:szCs w:val="28"/>
          <w:rtl/>
        </w:rPr>
        <w:t>وكان فوسفور المصل لدى المرضى المعالجين بتينابانور أقل بمقدار 1.76</w:t>
      </w:r>
      <w:r w:rsidRPr="00750429">
        <w:rPr>
          <w:rFonts w:asciiTheme="minorBidi" w:hAnsiTheme="minorBidi"/>
          <w:sz w:val="28"/>
          <w:szCs w:val="28"/>
        </w:rPr>
        <w:t xml:space="preserve"> mg/dL </w:t>
      </w:r>
      <w:r w:rsidRPr="00750429">
        <w:rPr>
          <w:rFonts w:asciiTheme="minorBidi" w:hAnsiTheme="minorBidi"/>
          <w:sz w:val="28"/>
          <w:szCs w:val="28"/>
          <w:rtl/>
        </w:rPr>
        <w:t>مقارنةً بالمرضى في مجموعة الغفل</w:t>
      </w:r>
      <w:r w:rsidRPr="00750429">
        <w:rPr>
          <w:rFonts w:asciiTheme="minorBidi" w:hAnsiTheme="minorBidi"/>
          <w:sz w:val="28"/>
          <w:szCs w:val="28"/>
        </w:rPr>
        <w:t>.</w:t>
      </w:r>
    </w:p>
    <w:p w14:paraId="1F4B3872" w14:textId="77777777" w:rsidR="00750429" w:rsidRDefault="00750429" w:rsidP="00750429">
      <w:pPr>
        <w:bidi/>
        <w:spacing w:after="0"/>
        <w:rPr>
          <w:rFonts w:asciiTheme="minorBidi" w:hAnsiTheme="minorBidi"/>
          <w:sz w:val="28"/>
          <w:szCs w:val="28"/>
          <w:rtl/>
        </w:rPr>
      </w:pPr>
      <w:r w:rsidRPr="00750429">
        <w:rPr>
          <w:rFonts w:asciiTheme="minorBidi" w:hAnsiTheme="minorBidi"/>
          <w:sz w:val="28"/>
          <w:szCs w:val="28"/>
          <w:rtl/>
        </w:rPr>
        <w:t>وحدث الإسهال لدى 63.1% من المرضى في مجموعة تينابانور مقابل 14.1% في مجموعة الغفل، لكنه وُصف بأنه خفيف أو متوسط في جميع الحالات</w:t>
      </w:r>
      <w:r w:rsidRPr="00750429">
        <w:rPr>
          <w:rFonts w:asciiTheme="minorBidi" w:hAnsiTheme="minorBidi"/>
          <w:sz w:val="28"/>
          <w:szCs w:val="28"/>
        </w:rPr>
        <w:t>.</w:t>
      </w:r>
    </w:p>
    <w:p w14:paraId="7BE123F9" w14:textId="77777777" w:rsidR="00E24D50" w:rsidRDefault="00E24D50" w:rsidP="00E24D50">
      <w:pPr>
        <w:bidi/>
        <w:spacing w:after="0"/>
        <w:rPr>
          <w:rFonts w:asciiTheme="minorBidi" w:hAnsiTheme="minorBidi"/>
          <w:sz w:val="28"/>
          <w:szCs w:val="28"/>
          <w:rtl/>
        </w:rPr>
      </w:pPr>
    </w:p>
    <w:p w14:paraId="44E8FBDC" w14:textId="77777777" w:rsidR="00E24D50" w:rsidRPr="00E24D50" w:rsidRDefault="00E24D50" w:rsidP="00E24D50">
      <w:pPr>
        <w:spacing w:after="0" w:line="240" w:lineRule="auto"/>
        <w:rPr>
          <w:rFonts w:ascii="Times New Roman" w:eastAsia="Times New Roman" w:hAnsi="Times New Roman" w:cs="Times New Roman"/>
          <w:kern w:val="0"/>
          <w:sz w:val="24"/>
          <w:szCs w:val="24"/>
          <w:lang w:eastAsia="de-DE"/>
          <w14:ligatures w14:val="none"/>
        </w:rPr>
      </w:pPr>
      <w:r w:rsidRPr="00E24D50">
        <w:rPr>
          <w:rFonts w:ascii="Noto Sans" w:eastAsia="Times New Roman" w:hAnsi="Noto Sans" w:cs="Noto Sans"/>
          <w:color w:val="232323"/>
          <w:kern w:val="0"/>
          <w:sz w:val="29"/>
          <w:szCs w:val="29"/>
          <w:bdr w:val="single" w:sz="6" w:space="18" w:color="EDEDED" w:frame="1"/>
          <w:shd w:val="clear" w:color="auto" w:fill="FFFFFF"/>
          <w:lang w:eastAsia="de-DE"/>
          <w14:ligatures w14:val="none"/>
        </w:rPr>
        <w:t>REFERENCES</w:t>
      </w:r>
    </w:p>
    <w:p w14:paraId="3912FF6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 w:history="1">
        <w:r w:rsidRPr="00E24D50">
          <w:rPr>
            <w:rFonts w:ascii="Noto Sans" w:eastAsia="Times New Roman" w:hAnsi="Noto Sans" w:cs="Noto Sans"/>
            <w:color w:val="0074B9"/>
            <w:kern w:val="0"/>
            <w:sz w:val="24"/>
            <w:szCs w:val="24"/>
            <w:lang w:val="en-GB" w:eastAsia="de-DE"/>
            <w14:ligatures w14:val="none"/>
          </w:rPr>
          <w:t xml:space="preserve">Slatopolsky E, Robson AM, Elkan I, Bricker NS. Control of phosphate excretion in uremic man. </w:t>
        </w:r>
        <w:r w:rsidRPr="00E24D50">
          <w:rPr>
            <w:rFonts w:ascii="Noto Sans" w:eastAsia="Times New Roman" w:hAnsi="Noto Sans" w:cs="Noto Sans"/>
            <w:color w:val="0074B9"/>
            <w:kern w:val="0"/>
            <w:sz w:val="24"/>
            <w:szCs w:val="24"/>
            <w:lang w:eastAsia="de-DE"/>
            <w14:ligatures w14:val="none"/>
          </w:rPr>
          <w:t>J Clin Invest 1968; 47:1865.</w:t>
        </w:r>
      </w:hyperlink>
    </w:p>
    <w:p w14:paraId="28DD4CD7"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 w:history="1">
        <w:r w:rsidRPr="00E24D50">
          <w:rPr>
            <w:rFonts w:ascii="Noto Sans" w:eastAsia="Times New Roman" w:hAnsi="Noto Sans" w:cs="Noto Sans"/>
            <w:color w:val="0074B9"/>
            <w:kern w:val="0"/>
            <w:sz w:val="24"/>
            <w:szCs w:val="24"/>
            <w:lang w:val="en-GB" w:eastAsia="de-DE"/>
            <w14:ligatures w14:val="none"/>
          </w:rPr>
          <w:t xml:space="preserve">Levin A, Bakris GL, Molitch M, et al. Prevalence of abnormal serum vitamin D, PTH, calcium, and phosphorus in patients with chronic kidney disease: results of the study to evaluate early kidney disease. </w:t>
        </w:r>
        <w:r w:rsidRPr="00E24D50">
          <w:rPr>
            <w:rFonts w:ascii="Noto Sans" w:eastAsia="Times New Roman" w:hAnsi="Noto Sans" w:cs="Noto Sans"/>
            <w:color w:val="0074B9"/>
            <w:kern w:val="0"/>
            <w:sz w:val="24"/>
            <w:szCs w:val="24"/>
            <w:lang w:eastAsia="de-DE"/>
            <w14:ligatures w14:val="none"/>
          </w:rPr>
          <w:t>Kidney Int 2007; 71:31.</w:t>
        </w:r>
      </w:hyperlink>
    </w:p>
    <w:p w14:paraId="4CD9AAF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 w:history="1">
        <w:r w:rsidRPr="00E24D50">
          <w:rPr>
            <w:rFonts w:ascii="Noto Sans" w:eastAsia="Times New Roman" w:hAnsi="Noto Sans" w:cs="Noto Sans"/>
            <w:color w:val="0074B9"/>
            <w:kern w:val="0"/>
            <w:sz w:val="24"/>
            <w:szCs w:val="24"/>
            <w:lang w:val="en-GB" w:eastAsia="de-DE"/>
            <w14:ligatures w14:val="none"/>
          </w:rPr>
          <w:t xml:space="preserve">Tonelli M. Serum phosphorus in people with chronic kidney disease: you are what you eat. </w:t>
        </w:r>
        <w:r w:rsidRPr="00E24D50">
          <w:rPr>
            <w:rFonts w:ascii="Noto Sans" w:eastAsia="Times New Roman" w:hAnsi="Noto Sans" w:cs="Noto Sans"/>
            <w:color w:val="0074B9"/>
            <w:kern w:val="0"/>
            <w:sz w:val="24"/>
            <w:szCs w:val="24"/>
            <w:lang w:eastAsia="de-DE"/>
            <w14:ligatures w14:val="none"/>
          </w:rPr>
          <w:t>Kidney Int 2013; 84:871.</w:t>
        </w:r>
      </w:hyperlink>
    </w:p>
    <w:p w14:paraId="557FF3C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 w:history="1">
        <w:r w:rsidRPr="00E24D50">
          <w:rPr>
            <w:rFonts w:ascii="Noto Sans" w:eastAsia="Times New Roman" w:hAnsi="Noto Sans" w:cs="Noto Sans"/>
            <w:color w:val="0074B9"/>
            <w:kern w:val="0"/>
            <w:sz w:val="24"/>
            <w:szCs w:val="24"/>
            <w:lang w:val="en-GB" w:eastAsia="de-DE"/>
            <w14:ligatures w14:val="none"/>
          </w:rPr>
          <w:t xml:space="preserve">Young EW, Akiba T, Albert JM, et al. Magnitude and impact of abnormal mineral metabolism in hemodialysis patients in the Dialysis Outcomes and Practice Patterns Study (DOPPS). </w:t>
        </w:r>
        <w:r w:rsidRPr="00E24D50">
          <w:rPr>
            <w:rFonts w:ascii="Noto Sans" w:eastAsia="Times New Roman" w:hAnsi="Noto Sans" w:cs="Noto Sans"/>
            <w:color w:val="0074B9"/>
            <w:kern w:val="0"/>
            <w:sz w:val="24"/>
            <w:szCs w:val="24"/>
            <w:lang w:eastAsia="de-DE"/>
            <w14:ligatures w14:val="none"/>
          </w:rPr>
          <w:t>Am J Kidney Dis 2004; 44:34.</w:t>
        </w:r>
      </w:hyperlink>
    </w:p>
    <w:p w14:paraId="28B73E4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 w:history="1">
        <w:r w:rsidRPr="00E24D50">
          <w:rPr>
            <w:rFonts w:ascii="Noto Sans" w:eastAsia="Times New Roman" w:hAnsi="Noto Sans" w:cs="Noto Sans"/>
            <w:color w:val="0074B9"/>
            <w:kern w:val="0"/>
            <w:sz w:val="24"/>
            <w:szCs w:val="24"/>
            <w:lang w:val="en-GB" w:eastAsia="de-DE"/>
            <w14:ligatures w14:val="none"/>
          </w:rPr>
          <w:t xml:space="preserve">Block GA, Hulbert-Shearon TE, Levin NW, Port FK. Association of serum phosphorus and calcium x phosphate product with mortality risk in chronic hemodialysis patients: a national study. </w:t>
        </w:r>
        <w:r w:rsidRPr="00E24D50">
          <w:rPr>
            <w:rFonts w:ascii="Noto Sans" w:eastAsia="Times New Roman" w:hAnsi="Noto Sans" w:cs="Noto Sans"/>
            <w:color w:val="0074B9"/>
            <w:kern w:val="0"/>
            <w:sz w:val="24"/>
            <w:szCs w:val="24"/>
            <w:lang w:eastAsia="de-DE"/>
            <w14:ligatures w14:val="none"/>
          </w:rPr>
          <w:t>Am J Kidney Dis 1998; 31:607.</w:t>
        </w:r>
      </w:hyperlink>
    </w:p>
    <w:p w14:paraId="18DC2938"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val="en-GB" w:eastAsia="de-DE"/>
          <w14:ligatures w14:val="none"/>
        </w:rPr>
      </w:pPr>
      <w:hyperlink r:id="rId10" w:history="1">
        <w:r w:rsidRPr="00E24D50">
          <w:rPr>
            <w:rFonts w:ascii="Noto Sans" w:eastAsia="Times New Roman" w:hAnsi="Noto Sans" w:cs="Noto Sans"/>
            <w:color w:val="0074B9"/>
            <w:kern w:val="0"/>
            <w:sz w:val="24"/>
            <w:szCs w:val="24"/>
            <w:lang w:eastAsia="de-DE"/>
            <w14:ligatures w14:val="none"/>
          </w:rPr>
          <w:t xml:space="preserve">Block GA, Klassen PS, Lazarus JM, et al. </w:t>
        </w:r>
        <w:r w:rsidRPr="00E24D50">
          <w:rPr>
            <w:rFonts w:ascii="Noto Sans" w:eastAsia="Times New Roman" w:hAnsi="Noto Sans" w:cs="Noto Sans"/>
            <w:color w:val="0074B9"/>
            <w:kern w:val="0"/>
            <w:sz w:val="24"/>
            <w:szCs w:val="24"/>
            <w:lang w:val="en-GB" w:eastAsia="de-DE"/>
            <w14:ligatures w14:val="none"/>
          </w:rPr>
          <w:t>Mineral metabolism, mortality, and morbidity in maintenance hemodialysis. J Am Soc Nephrol 2004; 15:2208.</w:t>
        </w:r>
      </w:hyperlink>
    </w:p>
    <w:p w14:paraId="5126088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 w:history="1">
        <w:r w:rsidRPr="00E24D50">
          <w:rPr>
            <w:rFonts w:ascii="Noto Sans" w:eastAsia="Times New Roman" w:hAnsi="Noto Sans" w:cs="Noto Sans"/>
            <w:color w:val="0074B9"/>
            <w:kern w:val="0"/>
            <w:sz w:val="24"/>
            <w:szCs w:val="24"/>
            <w:lang w:val="en-GB" w:eastAsia="de-DE"/>
            <w14:ligatures w14:val="none"/>
          </w:rPr>
          <w:t xml:space="preserve">Block G, Port FK. Calcium phosphate metabolism and cardiovascular disease in patients with chronic kidney disease. </w:t>
        </w:r>
        <w:r w:rsidRPr="00E24D50">
          <w:rPr>
            <w:rFonts w:ascii="Noto Sans" w:eastAsia="Times New Roman" w:hAnsi="Noto Sans" w:cs="Noto Sans"/>
            <w:color w:val="0074B9"/>
            <w:kern w:val="0"/>
            <w:sz w:val="24"/>
            <w:szCs w:val="24"/>
            <w:lang w:eastAsia="de-DE"/>
            <w14:ligatures w14:val="none"/>
          </w:rPr>
          <w:t>Semin Dial 2003; 16:140.</w:t>
        </w:r>
      </w:hyperlink>
    </w:p>
    <w:p w14:paraId="3B2141C9"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 w:history="1">
        <w:r w:rsidRPr="00E24D50">
          <w:rPr>
            <w:rFonts w:ascii="Noto Sans" w:eastAsia="Times New Roman" w:hAnsi="Noto Sans" w:cs="Noto Sans"/>
            <w:color w:val="0074B9"/>
            <w:kern w:val="0"/>
            <w:sz w:val="24"/>
            <w:szCs w:val="24"/>
            <w:lang w:val="en-GB" w:eastAsia="de-DE"/>
            <w14:ligatures w14:val="none"/>
          </w:rPr>
          <w:t xml:space="preserve">Marco MP, Craver L, Betriu A, et al. Higher impact of mineral metabolism on cardiovascular mortality in a European hemodialysis population. </w:t>
        </w:r>
        <w:r w:rsidRPr="00E24D50">
          <w:rPr>
            <w:rFonts w:ascii="Noto Sans" w:eastAsia="Times New Roman" w:hAnsi="Noto Sans" w:cs="Noto Sans"/>
            <w:color w:val="0074B9"/>
            <w:kern w:val="0"/>
            <w:sz w:val="24"/>
            <w:szCs w:val="24"/>
            <w:lang w:eastAsia="de-DE"/>
            <w14:ligatures w14:val="none"/>
          </w:rPr>
          <w:t>Kidney Int Suppl 2003; :S111.</w:t>
        </w:r>
      </w:hyperlink>
    </w:p>
    <w:p w14:paraId="05E59EB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val="en-GB" w:eastAsia="de-DE"/>
          <w14:ligatures w14:val="none"/>
        </w:rPr>
      </w:pPr>
      <w:hyperlink r:id="rId13" w:history="1">
        <w:r w:rsidRPr="00E24D50">
          <w:rPr>
            <w:rFonts w:ascii="Noto Sans" w:eastAsia="Times New Roman" w:hAnsi="Noto Sans" w:cs="Noto Sans"/>
            <w:color w:val="0074B9"/>
            <w:kern w:val="0"/>
            <w:sz w:val="24"/>
            <w:szCs w:val="24"/>
            <w:lang w:val="en-GB" w:eastAsia="de-DE"/>
            <w14:ligatures w14:val="none"/>
          </w:rPr>
          <w:t>Rodriguez-Benot A, Martin-Malo A, Alvarez-Lara MA, et al. Mild hyperphosphatemia and mortality in hemodialysis patients. Am J Kidney Dis 2005; 46:68.</w:t>
        </w:r>
      </w:hyperlink>
    </w:p>
    <w:p w14:paraId="55061B5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4" w:history="1">
        <w:r w:rsidRPr="00E24D50">
          <w:rPr>
            <w:rFonts w:ascii="Noto Sans" w:eastAsia="Times New Roman" w:hAnsi="Noto Sans" w:cs="Noto Sans"/>
            <w:color w:val="0074B9"/>
            <w:kern w:val="0"/>
            <w:sz w:val="24"/>
            <w:szCs w:val="24"/>
            <w:lang w:val="en-GB" w:eastAsia="de-DE"/>
            <w14:ligatures w14:val="none"/>
          </w:rPr>
          <w:t xml:space="preserve">Palmer SC, Hayen A, Macaskill P, et al. Serum levels of phosphorus, parathyroid hormone, and calcium and risks of death and cardiovascular disease in individuals with chronic kidney disease: a systematic review and meta-analysis. </w:t>
        </w:r>
        <w:r w:rsidRPr="00E24D50">
          <w:rPr>
            <w:rFonts w:ascii="Noto Sans" w:eastAsia="Times New Roman" w:hAnsi="Noto Sans" w:cs="Noto Sans"/>
            <w:color w:val="0074B9"/>
            <w:kern w:val="0"/>
            <w:sz w:val="24"/>
            <w:szCs w:val="24"/>
            <w:lang w:eastAsia="de-DE"/>
            <w14:ligatures w14:val="none"/>
          </w:rPr>
          <w:t>JAMA 2011; 305:1119.</w:t>
        </w:r>
      </w:hyperlink>
    </w:p>
    <w:p w14:paraId="665371B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5" w:history="1">
        <w:r w:rsidRPr="00E24D50">
          <w:rPr>
            <w:rFonts w:ascii="Noto Sans" w:eastAsia="Times New Roman" w:hAnsi="Noto Sans" w:cs="Noto Sans"/>
            <w:color w:val="0074B9"/>
            <w:kern w:val="0"/>
            <w:sz w:val="24"/>
            <w:szCs w:val="24"/>
            <w:lang w:eastAsia="de-DE"/>
            <w14:ligatures w14:val="none"/>
          </w:rPr>
          <w:t xml:space="preserve">Kestenbaum B, Sampson JN, Rudser KD, et al. </w:t>
        </w:r>
        <w:r w:rsidRPr="00E24D50">
          <w:rPr>
            <w:rFonts w:ascii="Noto Sans" w:eastAsia="Times New Roman" w:hAnsi="Noto Sans" w:cs="Noto Sans"/>
            <w:color w:val="0074B9"/>
            <w:kern w:val="0"/>
            <w:sz w:val="24"/>
            <w:szCs w:val="24"/>
            <w:lang w:val="en-GB" w:eastAsia="de-DE"/>
            <w14:ligatures w14:val="none"/>
          </w:rPr>
          <w:t xml:space="preserve">Serum phosphate levels and mortality risk among people with chronic kidney disease. </w:t>
        </w:r>
        <w:r w:rsidRPr="00E24D50">
          <w:rPr>
            <w:rFonts w:ascii="Noto Sans" w:eastAsia="Times New Roman" w:hAnsi="Noto Sans" w:cs="Noto Sans"/>
            <w:color w:val="0074B9"/>
            <w:kern w:val="0"/>
            <w:sz w:val="24"/>
            <w:szCs w:val="24"/>
            <w:lang w:eastAsia="de-DE"/>
            <w14:ligatures w14:val="none"/>
          </w:rPr>
          <w:t>J Am Soc Nephrol 2005; 16:520.</w:t>
        </w:r>
      </w:hyperlink>
    </w:p>
    <w:p w14:paraId="2A3E00D3"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6" w:history="1">
        <w:r w:rsidRPr="00E24D50">
          <w:rPr>
            <w:rFonts w:ascii="Noto Sans" w:eastAsia="Times New Roman" w:hAnsi="Noto Sans" w:cs="Noto Sans"/>
            <w:color w:val="0074B9"/>
            <w:kern w:val="0"/>
            <w:sz w:val="24"/>
            <w:szCs w:val="24"/>
            <w:lang w:val="en-GB" w:eastAsia="de-DE"/>
            <w14:ligatures w14:val="none"/>
          </w:rPr>
          <w:t xml:space="preserve">Kovesdy CP, Anderson JE, Kalantar-Zadeh K. Outcomes associated with serum phosphorus level in males with non-dialysis dependent chronic kidney disease. </w:t>
        </w:r>
        <w:r w:rsidRPr="00E24D50">
          <w:rPr>
            <w:rFonts w:ascii="Noto Sans" w:eastAsia="Times New Roman" w:hAnsi="Noto Sans" w:cs="Noto Sans"/>
            <w:color w:val="0074B9"/>
            <w:kern w:val="0"/>
            <w:sz w:val="24"/>
            <w:szCs w:val="24"/>
            <w:lang w:eastAsia="de-DE"/>
            <w14:ligatures w14:val="none"/>
          </w:rPr>
          <w:t>Clin Nephrol 2010; 73:268.</w:t>
        </w:r>
      </w:hyperlink>
    </w:p>
    <w:p w14:paraId="27B270D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7" w:history="1">
        <w:r w:rsidRPr="00E24D50">
          <w:rPr>
            <w:rFonts w:ascii="Noto Sans" w:eastAsia="Times New Roman" w:hAnsi="Noto Sans" w:cs="Noto Sans"/>
            <w:color w:val="0074B9"/>
            <w:kern w:val="0"/>
            <w:sz w:val="24"/>
            <w:szCs w:val="24"/>
            <w:lang w:val="en-GB" w:eastAsia="de-DE"/>
            <w14:ligatures w14:val="none"/>
          </w:rPr>
          <w:t xml:space="preserve">Voormolen N, Noordzij M, Grootendorst DC, et al. High plasma phosphate as a risk factor for decline in renal function and mortality in pre-dialysis patients. </w:t>
        </w:r>
        <w:r w:rsidRPr="00E24D50">
          <w:rPr>
            <w:rFonts w:ascii="Noto Sans" w:eastAsia="Times New Roman" w:hAnsi="Noto Sans" w:cs="Noto Sans"/>
            <w:color w:val="0074B9"/>
            <w:kern w:val="0"/>
            <w:sz w:val="24"/>
            <w:szCs w:val="24"/>
            <w:lang w:eastAsia="de-DE"/>
            <w14:ligatures w14:val="none"/>
          </w:rPr>
          <w:t>Nephrol Dial Transplant 2007; 22:2909.</w:t>
        </w:r>
      </w:hyperlink>
    </w:p>
    <w:p w14:paraId="03A018A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8" w:history="1">
        <w:r w:rsidRPr="00E24D50">
          <w:rPr>
            <w:rFonts w:ascii="Noto Sans" w:eastAsia="Times New Roman" w:hAnsi="Noto Sans" w:cs="Noto Sans"/>
            <w:color w:val="0074B9"/>
            <w:kern w:val="0"/>
            <w:sz w:val="24"/>
            <w:szCs w:val="24"/>
            <w:lang w:val="en-GB" w:eastAsia="de-DE"/>
            <w14:ligatures w14:val="none"/>
          </w:rPr>
          <w:t xml:space="preserve">Eddington H, Hoefield R, Sinha S, et al. Serum phosphate and mortality in patients with chronic kidney disease. </w:t>
        </w:r>
        <w:r w:rsidRPr="00E24D50">
          <w:rPr>
            <w:rFonts w:ascii="Noto Sans" w:eastAsia="Times New Roman" w:hAnsi="Noto Sans" w:cs="Noto Sans"/>
            <w:color w:val="0074B9"/>
            <w:kern w:val="0"/>
            <w:sz w:val="24"/>
            <w:szCs w:val="24"/>
            <w:lang w:eastAsia="de-DE"/>
            <w14:ligatures w14:val="none"/>
          </w:rPr>
          <w:t>Clin J Am Soc Nephrol 2010; 5:2251.</w:t>
        </w:r>
      </w:hyperlink>
    </w:p>
    <w:p w14:paraId="2FDDFCF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9" w:history="1">
        <w:r w:rsidRPr="00E24D50">
          <w:rPr>
            <w:rFonts w:ascii="Noto Sans" w:eastAsia="Times New Roman" w:hAnsi="Noto Sans" w:cs="Noto Sans"/>
            <w:color w:val="0074B9"/>
            <w:kern w:val="0"/>
            <w:sz w:val="24"/>
            <w:szCs w:val="24"/>
            <w:lang w:val="en-GB" w:eastAsia="de-DE"/>
            <w14:ligatures w14:val="none"/>
          </w:rPr>
          <w:t xml:space="preserve">Magagnoli L, Cozzolino M, Caskey FJ, et al. Association between CKD-MBD and mortality in older patients with advanced CKD-results from the EQUAL study. </w:t>
        </w:r>
        <w:r w:rsidRPr="00E24D50">
          <w:rPr>
            <w:rFonts w:ascii="Noto Sans" w:eastAsia="Times New Roman" w:hAnsi="Noto Sans" w:cs="Noto Sans"/>
            <w:color w:val="0074B9"/>
            <w:kern w:val="0"/>
            <w:sz w:val="24"/>
            <w:szCs w:val="24"/>
            <w:lang w:eastAsia="de-DE"/>
            <w14:ligatures w14:val="none"/>
          </w:rPr>
          <w:t>Nephrol Dial Transplant 2023; 38:2562.</w:t>
        </w:r>
      </w:hyperlink>
    </w:p>
    <w:p w14:paraId="723E1160"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0" w:history="1">
        <w:r w:rsidRPr="00E24D50">
          <w:rPr>
            <w:rFonts w:ascii="Noto Sans" w:eastAsia="Times New Roman" w:hAnsi="Noto Sans" w:cs="Noto Sans"/>
            <w:color w:val="0074B9"/>
            <w:kern w:val="0"/>
            <w:sz w:val="24"/>
            <w:szCs w:val="24"/>
            <w:lang w:val="en-GB" w:eastAsia="de-DE"/>
            <w14:ligatures w14:val="none"/>
          </w:rPr>
          <w:t xml:space="preserve">Mehrotra R, Peralta CA, Chen SC, et al. No independent association of serum phosphorus with risk for death or progression to end-stage renal disease in a large screen for chronic kidney disease. </w:t>
        </w:r>
        <w:r w:rsidRPr="00E24D50">
          <w:rPr>
            <w:rFonts w:ascii="Noto Sans" w:eastAsia="Times New Roman" w:hAnsi="Noto Sans" w:cs="Noto Sans"/>
            <w:color w:val="0074B9"/>
            <w:kern w:val="0"/>
            <w:sz w:val="24"/>
            <w:szCs w:val="24"/>
            <w:lang w:eastAsia="de-DE"/>
            <w14:ligatures w14:val="none"/>
          </w:rPr>
          <w:t>Kidney Int 2013; 84:989.</w:t>
        </w:r>
      </w:hyperlink>
    </w:p>
    <w:p w14:paraId="522D8FE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1" w:history="1">
        <w:r w:rsidRPr="00E24D50">
          <w:rPr>
            <w:rFonts w:ascii="Noto Sans" w:eastAsia="Times New Roman" w:hAnsi="Noto Sans" w:cs="Noto Sans"/>
            <w:color w:val="0074B9"/>
            <w:kern w:val="0"/>
            <w:sz w:val="24"/>
            <w:szCs w:val="24"/>
            <w:lang w:val="en-GB" w:eastAsia="de-DE"/>
            <w14:ligatures w14:val="none"/>
          </w:rPr>
          <w:t xml:space="preserve">Menon V, Greene T, Pereira AA, et al. Relationship of phosphorus and calcium-phosphorus product with mortality in CKD. </w:t>
        </w:r>
        <w:r w:rsidRPr="00E24D50">
          <w:rPr>
            <w:rFonts w:ascii="Noto Sans" w:eastAsia="Times New Roman" w:hAnsi="Noto Sans" w:cs="Noto Sans"/>
            <w:color w:val="0074B9"/>
            <w:kern w:val="0"/>
            <w:sz w:val="24"/>
            <w:szCs w:val="24"/>
            <w:lang w:eastAsia="de-DE"/>
            <w14:ligatures w14:val="none"/>
          </w:rPr>
          <w:t>Am J Kidney Dis 2005; 46:455.</w:t>
        </w:r>
      </w:hyperlink>
    </w:p>
    <w:p w14:paraId="38F7614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2" w:history="1">
        <w:r w:rsidRPr="00E24D50">
          <w:rPr>
            <w:rFonts w:ascii="Noto Sans" w:eastAsia="Times New Roman" w:hAnsi="Noto Sans" w:cs="Noto Sans"/>
            <w:color w:val="0074B9"/>
            <w:kern w:val="0"/>
            <w:sz w:val="24"/>
            <w:szCs w:val="24"/>
            <w:lang w:val="en-GB" w:eastAsia="de-DE"/>
            <w14:ligatures w14:val="none"/>
          </w:rPr>
          <w:t xml:space="preserve">Dhingra R, Sullivan LM, Fox CS, et al. Relations of serum phosphorus and calcium levels to the incidence of cardiovascular disease in the community. </w:t>
        </w:r>
        <w:r w:rsidRPr="00E24D50">
          <w:rPr>
            <w:rFonts w:ascii="Noto Sans" w:eastAsia="Times New Roman" w:hAnsi="Noto Sans" w:cs="Noto Sans"/>
            <w:color w:val="0074B9"/>
            <w:kern w:val="0"/>
            <w:sz w:val="24"/>
            <w:szCs w:val="24"/>
            <w:lang w:eastAsia="de-DE"/>
            <w14:ligatures w14:val="none"/>
          </w:rPr>
          <w:t>Arch Intern Med 2007; 167:879.</w:t>
        </w:r>
      </w:hyperlink>
    </w:p>
    <w:p w14:paraId="055B7CA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3" w:history="1">
        <w:r w:rsidRPr="00E24D50">
          <w:rPr>
            <w:rFonts w:ascii="Noto Sans" w:eastAsia="Times New Roman" w:hAnsi="Noto Sans" w:cs="Noto Sans"/>
            <w:color w:val="0074B9"/>
            <w:kern w:val="0"/>
            <w:sz w:val="24"/>
            <w:szCs w:val="24"/>
            <w:lang w:val="en-GB" w:eastAsia="de-DE"/>
            <w14:ligatures w14:val="none"/>
          </w:rPr>
          <w:t xml:space="preserve">Tonelli M, Sacks F, Pfeffer M, et al. Relation between serum phosphate level and cardiovascular event rate in people with coronary disease. </w:t>
        </w:r>
        <w:r w:rsidRPr="00E24D50">
          <w:rPr>
            <w:rFonts w:ascii="Noto Sans" w:eastAsia="Times New Roman" w:hAnsi="Noto Sans" w:cs="Noto Sans"/>
            <w:color w:val="0074B9"/>
            <w:kern w:val="0"/>
            <w:sz w:val="24"/>
            <w:szCs w:val="24"/>
            <w:lang w:eastAsia="de-DE"/>
            <w14:ligatures w14:val="none"/>
          </w:rPr>
          <w:t>Circulation 2005; 112:2627.</w:t>
        </w:r>
      </w:hyperlink>
    </w:p>
    <w:p w14:paraId="21CA757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4" w:history="1">
        <w:r w:rsidRPr="00E24D50">
          <w:rPr>
            <w:rFonts w:ascii="Noto Sans" w:eastAsia="Times New Roman" w:hAnsi="Noto Sans" w:cs="Noto Sans"/>
            <w:color w:val="0074B9"/>
            <w:kern w:val="0"/>
            <w:sz w:val="24"/>
            <w:szCs w:val="24"/>
            <w:lang w:val="en-GB" w:eastAsia="de-DE"/>
            <w14:ligatures w14:val="none"/>
          </w:rPr>
          <w:t xml:space="preserve">Ketteler M, Block GA, Evenepoel P, et al. Executive summary of the 2017 KDIGO Chronic Kidney Disease-Mineral and Bone Disorder (CKD-MBD) Guideline Update: what's changed and why it matters. </w:t>
        </w:r>
        <w:r w:rsidRPr="00E24D50">
          <w:rPr>
            <w:rFonts w:ascii="Noto Sans" w:eastAsia="Times New Roman" w:hAnsi="Noto Sans" w:cs="Noto Sans"/>
            <w:color w:val="0074B9"/>
            <w:kern w:val="0"/>
            <w:sz w:val="24"/>
            <w:szCs w:val="24"/>
            <w:lang w:eastAsia="de-DE"/>
            <w14:ligatures w14:val="none"/>
          </w:rPr>
          <w:t>Kidney Int 2017; 92:26.</w:t>
        </w:r>
      </w:hyperlink>
    </w:p>
    <w:p w14:paraId="6F099C7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5" w:history="1">
        <w:r w:rsidRPr="00E24D50">
          <w:rPr>
            <w:rFonts w:ascii="Noto Sans" w:eastAsia="Times New Roman" w:hAnsi="Noto Sans" w:cs="Noto Sans"/>
            <w:color w:val="0074B9"/>
            <w:kern w:val="0"/>
            <w:sz w:val="24"/>
            <w:szCs w:val="24"/>
            <w:lang w:eastAsia="de-DE"/>
            <w14:ligatures w14:val="none"/>
          </w:rPr>
          <w:t xml:space="preserve">Edmonston DL, Isakova T, Dember LM, et al. </w:t>
        </w:r>
        <w:r w:rsidRPr="00E24D50">
          <w:rPr>
            <w:rFonts w:ascii="Noto Sans" w:eastAsia="Times New Roman" w:hAnsi="Noto Sans" w:cs="Noto Sans"/>
            <w:color w:val="0074B9"/>
            <w:kern w:val="0"/>
            <w:sz w:val="24"/>
            <w:szCs w:val="24"/>
            <w:lang w:val="en-GB" w:eastAsia="de-DE"/>
            <w14:ligatures w14:val="none"/>
          </w:rPr>
          <w:t xml:space="preserve">Design and Rationale of HiLo: A Pragmatic, Randomized Trial of Phosphate Management for Patients Receiving Maintenance Hemodialysis. </w:t>
        </w:r>
        <w:r w:rsidRPr="00E24D50">
          <w:rPr>
            <w:rFonts w:ascii="Noto Sans" w:eastAsia="Times New Roman" w:hAnsi="Noto Sans" w:cs="Noto Sans"/>
            <w:color w:val="0074B9"/>
            <w:kern w:val="0"/>
            <w:sz w:val="24"/>
            <w:szCs w:val="24"/>
            <w:lang w:eastAsia="de-DE"/>
            <w14:ligatures w14:val="none"/>
          </w:rPr>
          <w:t>Am J Kidney Dis 2021; 77:920.</w:t>
        </w:r>
      </w:hyperlink>
    </w:p>
    <w:p w14:paraId="5EC55913"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6" w:history="1">
        <w:r w:rsidRPr="00E24D50">
          <w:rPr>
            <w:rFonts w:ascii="Noto Sans" w:eastAsia="Times New Roman" w:hAnsi="Noto Sans" w:cs="Noto Sans"/>
            <w:color w:val="0074B9"/>
            <w:kern w:val="0"/>
            <w:sz w:val="24"/>
            <w:szCs w:val="24"/>
            <w:lang w:val="en-GB" w:eastAsia="de-DE"/>
            <w14:ligatures w14:val="none"/>
          </w:rPr>
          <w:t xml:space="preserve">National Kidney Foundation. K/DOQI clinical practice guidelines for bone metabolism and disease in chronic kidney disease. </w:t>
        </w:r>
        <w:r w:rsidRPr="00E24D50">
          <w:rPr>
            <w:rFonts w:ascii="Noto Sans" w:eastAsia="Times New Roman" w:hAnsi="Noto Sans" w:cs="Noto Sans"/>
            <w:color w:val="0074B9"/>
            <w:kern w:val="0"/>
            <w:sz w:val="24"/>
            <w:szCs w:val="24"/>
            <w:lang w:eastAsia="de-DE"/>
            <w14:ligatures w14:val="none"/>
          </w:rPr>
          <w:t>Am J Kidney Dis 2003; 42:S1.</w:t>
        </w:r>
      </w:hyperlink>
    </w:p>
    <w:p w14:paraId="53F71CD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7" w:history="1">
        <w:r w:rsidRPr="00E24D50">
          <w:rPr>
            <w:rFonts w:ascii="Noto Sans" w:eastAsia="Times New Roman" w:hAnsi="Noto Sans" w:cs="Noto Sans"/>
            <w:color w:val="0074B9"/>
            <w:kern w:val="0"/>
            <w:sz w:val="24"/>
            <w:szCs w:val="24"/>
            <w:lang w:val="en-GB" w:eastAsia="de-DE"/>
            <w14:ligatures w14:val="none"/>
          </w:rPr>
          <w:t xml:space="preserve">Kidney Disease: Improving Global Outcomes (KDIGO) CKD-MBD Work Group. KDIGO clinical practice guideline for the diagnosis, evaluation, prevention, and treatment of Chronic Kidney Disease-Mineral and Bone Disorder (CKD-MBD). </w:t>
        </w:r>
        <w:r w:rsidRPr="00E24D50">
          <w:rPr>
            <w:rFonts w:ascii="Noto Sans" w:eastAsia="Times New Roman" w:hAnsi="Noto Sans" w:cs="Noto Sans"/>
            <w:color w:val="0074B9"/>
            <w:kern w:val="0"/>
            <w:sz w:val="24"/>
            <w:szCs w:val="24"/>
            <w:lang w:eastAsia="de-DE"/>
            <w14:ligatures w14:val="none"/>
          </w:rPr>
          <w:t>Kidney Int Suppl 2009; :S1.</w:t>
        </w:r>
      </w:hyperlink>
    </w:p>
    <w:p w14:paraId="4A1B713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8" w:history="1">
        <w:r w:rsidRPr="00E24D50">
          <w:rPr>
            <w:rFonts w:ascii="Noto Sans" w:eastAsia="Times New Roman" w:hAnsi="Noto Sans" w:cs="Noto Sans"/>
            <w:color w:val="0074B9"/>
            <w:kern w:val="0"/>
            <w:sz w:val="24"/>
            <w:szCs w:val="24"/>
            <w:lang w:val="en-GB" w:eastAsia="de-DE"/>
            <w14:ligatures w14:val="none"/>
          </w:rPr>
          <w:t xml:space="preserve">Emmett M. A comparison of clinically useful phosphorus binders for patients with chronic kidney failure. </w:t>
        </w:r>
        <w:r w:rsidRPr="00E24D50">
          <w:rPr>
            <w:rFonts w:ascii="Noto Sans" w:eastAsia="Times New Roman" w:hAnsi="Noto Sans" w:cs="Noto Sans"/>
            <w:color w:val="0074B9"/>
            <w:kern w:val="0"/>
            <w:sz w:val="24"/>
            <w:szCs w:val="24"/>
            <w:lang w:eastAsia="de-DE"/>
            <w14:ligatures w14:val="none"/>
          </w:rPr>
          <w:t>Kidney Int Suppl 2004; :S25.</w:t>
        </w:r>
      </w:hyperlink>
    </w:p>
    <w:p w14:paraId="19D38C39"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29" w:history="1">
        <w:r w:rsidRPr="00E24D50">
          <w:rPr>
            <w:rFonts w:ascii="Noto Sans" w:eastAsia="Times New Roman" w:hAnsi="Noto Sans" w:cs="Noto Sans"/>
            <w:color w:val="0074B9"/>
            <w:kern w:val="0"/>
            <w:sz w:val="24"/>
            <w:szCs w:val="24"/>
            <w:lang w:val="en-GB" w:eastAsia="de-DE"/>
            <w14:ligatures w14:val="none"/>
          </w:rPr>
          <w:t xml:space="preserve">Friedman EA. An introduction to phosphate binders for the treatment of hyperphosphatemia in patients with chronic kidney disease. </w:t>
        </w:r>
        <w:r w:rsidRPr="00E24D50">
          <w:rPr>
            <w:rFonts w:ascii="Noto Sans" w:eastAsia="Times New Roman" w:hAnsi="Noto Sans" w:cs="Noto Sans"/>
            <w:color w:val="0074B9"/>
            <w:kern w:val="0"/>
            <w:sz w:val="24"/>
            <w:szCs w:val="24"/>
            <w:lang w:eastAsia="de-DE"/>
            <w14:ligatures w14:val="none"/>
          </w:rPr>
          <w:t>Kidney Int Suppl 2005; :S2.</w:t>
        </w:r>
      </w:hyperlink>
    </w:p>
    <w:p w14:paraId="63B72B7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0" w:history="1">
        <w:r w:rsidRPr="00E24D50">
          <w:rPr>
            <w:rFonts w:ascii="Noto Sans" w:eastAsia="Times New Roman" w:hAnsi="Noto Sans" w:cs="Noto Sans"/>
            <w:color w:val="0074B9"/>
            <w:kern w:val="0"/>
            <w:sz w:val="24"/>
            <w:szCs w:val="24"/>
            <w:lang w:val="en-GB" w:eastAsia="de-DE"/>
            <w14:ligatures w14:val="none"/>
          </w:rPr>
          <w:t xml:space="preserve">KDIGO 2012 Clinical Practice Guideline for the Evaluation and Management of Chronic Kidney Disease. </w:t>
        </w:r>
        <w:r w:rsidRPr="00E24D50">
          <w:rPr>
            <w:rFonts w:ascii="Noto Sans" w:eastAsia="Times New Roman" w:hAnsi="Noto Sans" w:cs="Noto Sans"/>
            <w:color w:val="0074B9"/>
            <w:kern w:val="0"/>
            <w:sz w:val="24"/>
            <w:szCs w:val="24"/>
            <w:lang w:eastAsia="de-DE"/>
            <w14:ligatures w14:val="none"/>
          </w:rPr>
          <w:t>Kidney Int Suppl 2013; 3:5.</w:t>
        </w:r>
      </w:hyperlink>
    </w:p>
    <w:p w14:paraId="050C50E0"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1" w:history="1">
        <w:r w:rsidRPr="00E24D50">
          <w:rPr>
            <w:rFonts w:ascii="Noto Sans" w:eastAsia="Times New Roman" w:hAnsi="Noto Sans" w:cs="Noto Sans"/>
            <w:color w:val="0074B9"/>
            <w:kern w:val="0"/>
            <w:sz w:val="24"/>
            <w:szCs w:val="24"/>
            <w:lang w:val="en-GB" w:eastAsia="de-DE"/>
            <w14:ligatures w14:val="none"/>
          </w:rPr>
          <w:t xml:space="preserve">Sullivan C, Sayre SS, Leon JB, et al. Effect of food additives on hyperphosphatemia among patients with end-stage renal disease: a randomized controlled trial. </w:t>
        </w:r>
        <w:r w:rsidRPr="00E24D50">
          <w:rPr>
            <w:rFonts w:ascii="Noto Sans" w:eastAsia="Times New Roman" w:hAnsi="Noto Sans" w:cs="Noto Sans"/>
            <w:color w:val="0074B9"/>
            <w:kern w:val="0"/>
            <w:sz w:val="24"/>
            <w:szCs w:val="24"/>
            <w:lang w:eastAsia="de-DE"/>
            <w14:ligatures w14:val="none"/>
          </w:rPr>
          <w:t>JAMA 2009; 301:629.</w:t>
        </w:r>
      </w:hyperlink>
    </w:p>
    <w:p w14:paraId="44875B8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2" w:history="1">
        <w:r w:rsidRPr="00E24D50">
          <w:rPr>
            <w:rFonts w:ascii="Noto Sans" w:eastAsia="Times New Roman" w:hAnsi="Noto Sans" w:cs="Noto Sans"/>
            <w:color w:val="0074B9"/>
            <w:kern w:val="0"/>
            <w:sz w:val="24"/>
            <w:szCs w:val="24"/>
            <w:lang w:val="en-GB" w:eastAsia="de-DE"/>
            <w14:ligatures w14:val="none"/>
          </w:rPr>
          <w:t xml:space="preserve">Calvo MS, Uribarri J. Contributions to total phosphorus intake: all sources considered. </w:t>
        </w:r>
        <w:r w:rsidRPr="00E24D50">
          <w:rPr>
            <w:rFonts w:ascii="Noto Sans" w:eastAsia="Times New Roman" w:hAnsi="Noto Sans" w:cs="Noto Sans"/>
            <w:color w:val="0074B9"/>
            <w:kern w:val="0"/>
            <w:sz w:val="24"/>
            <w:szCs w:val="24"/>
            <w:lang w:eastAsia="de-DE"/>
            <w14:ligatures w14:val="none"/>
          </w:rPr>
          <w:t>Semin Dial 2013; 26:54.</w:t>
        </w:r>
      </w:hyperlink>
    </w:p>
    <w:p w14:paraId="17CED55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3" w:history="1">
        <w:r w:rsidRPr="00E24D50">
          <w:rPr>
            <w:rFonts w:ascii="Noto Sans" w:eastAsia="Times New Roman" w:hAnsi="Noto Sans" w:cs="Noto Sans"/>
            <w:color w:val="0074B9"/>
            <w:kern w:val="0"/>
            <w:sz w:val="24"/>
            <w:szCs w:val="24"/>
            <w:lang w:val="en-GB" w:eastAsia="de-DE"/>
            <w14:ligatures w14:val="none"/>
          </w:rPr>
          <w:t xml:space="preserve">Sczip AC, Morais JG, Calegari A, et al. Hyperphosphatemia in Patients on Hemodialysis May be Driven by the Consumption of Ultraprocessed Foods. </w:t>
        </w:r>
        <w:r w:rsidRPr="00E24D50">
          <w:rPr>
            <w:rFonts w:ascii="Noto Sans" w:eastAsia="Times New Roman" w:hAnsi="Noto Sans" w:cs="Noto Sans"/>
            <w:color w:val="0074B9"/>
            <w:kern w:val="0"/>
            <w:sz w:val="24"/>
            <w:szCs w:val="24"/>
            <w:lang w:eastAsia="de-DE"/>
            <w14:ligatures w14:val="none"/>
          </w:rPr>
          <w:t>J Ren Nutr 2025; 35:780.</w:t>
        </w:r>
      </w:hyperlink>
    </w:p>
    <w:p w14:paraId="74DBEE4E"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4" w:history="1">
        <w:r w:rsidRPr="00E24D50">
          <w:rPr>
            <w:rFonts w:ascii="Noto Sans" w:eastAsia="Times New Roman" w:hAnsi="Noto Sans" w:cs="Noto Sans"/>
            <w:color w:val="0074B9"/>
            <w:kern w:val="0"/>
            <w:sz w:val="24"/>
            <w:szCs w:val="24"/>
            <w:lang w:val="en-GB" w:eastAsia="de-DE"/>
            <w14:ligatures w14:val="none"/>
          </w:rPr>
          <w:t xml:space="preserve">Uribarri J, Calvo MS. Hidden sources of phosphorus in the typical American diet: does it matter in nephrology? </w:t>
        </w:r>
        <w:r w:rsidRPr="00E24D50">
          <w:rPr>
            <w:rFonts w:ascii="Noto Sans" w:eastAsia="Times New Roman" w:hAnsi="Noto Sans" w:cs="Noto Sans"/>
            <w:color w:val="0074B9"/>
            <w:kern w:val="0"/>
            <w:sz w:val="24"/>
            <w:szCs w:val="24"/>
            <w:lang w:eastAsia="de-DE"/>
            <w14:ligatures w14:val="none"/>
          </w:rPr>
          <w:t>Semin Dial 2003; 16:186.</w:t>
        </w:r>
      </w:hyperlink>
    </w:p>
    <w:p w14:paraId="345215E8"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5" w:history="1">
        <w:r w:rsidRPr="00E24D50">
          <w:rPr>
            <w:rFonts w:ascii="Noto Sans" w:eastAsia="Times New Roman" w:hAnsi="Noto Sans" w:cs="Noto Sans"/>
            <w:color w:val="0074B9"/>
            <w:kern w:val="0"/>
            <w:sz w:val="24"/>
            <w:szCs w:val="24"/>
            <w:lang w:val="en-GB" w:eastAsia="de-DE"/>
            <w14:ligatures w14:val="none"/>
          </w:rPr>
          <w:t xml:space="preserve">Byrne FN, Gillman BA, Kiely M, et al. Pilot Randomized Controlled Trial of a Standard Versus a Modified Low-Phosphorus Diet in Hemodialysis Patients. </w:t>
        </w:r>
        <w:r w:rsidRPr="00E24D50">
          <w:rPr>
            <w:rFonts w:ascii="Noto Sans" w:eastAsia="Times New Roman" w:hAnsi="Noto Sans" w:cs="Noto Sans"/>
            <w:color w:val="0074B9"/>
            <w:kern w:val="0"/>
            <w:sz w:val="24"/>
            <w:szCs w:val="24"/>
            <w:lang w:eastAsia="de-DE"/>
            <w14:ligatures w14:val="none"/>
          </w:rPr>
          <w:t>Kidney Int Rep 2020; 5:1945.</w:t>
        </w:r>
      </w:hyperlink>
    </w:p>
    <w:p w14:paraId="4C1F2A97"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6" w:history="1">
        <w:r w:rsidRPr="00E24D50">
          <w:rPr>
            <w:rFonts w:ascii="Noto Sans" w:eastAsia="Times New Roman" w:hAnsi="Noto Sans" w:cs="Noto Sans"/>
            <w:color w:val="0074B9"/>
            <w:kern w:val="0"/>
            <w:sz w:val="24"/>
            <w:szCs w:val="24"/>
            <w:lang w:val="en-GB" w:eastAsia="de-DE"/>
            <w14:ligatures w14:val="none"/>
          </w:rPr>
          <w:t xml:space="preserve">Joshi S, McMacken M, Kalantar-Zadeh K. Plant-Based Diets for Kidney Disease: A Guide for Clinicians. </w:t>
        </w:r>
        <w:r w:rsidRPr="00E24D50">
          <w:rPr>
            <w:rFonts w:ascii="Noto Sans" w:eastAsia="Times New Roman" w:hAnsi="Noto Sans" w:cs="Noto Sans"/>
            <w:color w:val="0074B9"/>
            <w:kern w:val="0"/>
            <w:sz w:val="24"/>
            <w:szCs w:val="24"/>
            <w:lang w:eastAsia="de-DE"/>
            <w14:ligatures w14:val="none"/>
          </w:rPr>
          <w:t>Am J Kidney Dis 2021; 77:287.</w:t>
        </w:r>
      </w:hyperlink>
    </w:p>
    <w:p w14:paraId="62B1BD5E"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7" w:history="1">
        <w:r w:rsidRPr="00E24D50">
          <w:rPr>
            <w:rFonts w:ascii="Noto Sans" w:eastAsia="Times New Roman" w:hAnsi="Noto Sans" w:cs="Noto Sans"/>
            <w:color w:val="0074B9"/>
            <w:kern w:val="0"/>
            <w:sz w:val="24"/>
            <w:szCs w:val="24"/>
            <w:lang w:val="en-GB" w:eastAsia="de-DE"/>
            <w14:ligatures w14:val="none"/>
          </w:rPr>
          <w:t xml:space="preserve">Moorthi RN, Armstrong CL, Janda K, et al. The effect of a diet containing 70% protein from plants on mineral metabolism and musculoskeletal health in chronic kidney disease. </w:t>
        </w:r>
        <w:r w:rsidRPr="00E24D50">
          <w:rPr>
            <w:rFonts w:ascii="Noto Sans" w:eastAsia="Times New Roman" w:hAnsi="Noto Sans" w:cs="Noto Sans"/>
            <w:color w:val="0074B9"/>
            <w:kern w:val="0"/>
            <w:sz w:val="24"/>
            <w:szCs w:val="24"/>
            <w:lang w:eastAsia="de-DE"/>
            <w14:ligatures w14:val="none"/>
          </w:rPr>
          <w:t>Am J Nephrol 2014; 40:582.</w:t>
        </w:r>
      </w:hyperlink>
    </w:p>
    <w:p w14:paraId="57BAA92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8" w:history="1">
        <w:r w:rsidRPr="00E24D50">
          <w:rPr>
            <w:rFonts w:ascii="Noto Sans" w:eastAsia="Times New Roman" w:hAnsi="Noto Sans" w:cs="Noto Sans"/>
            <w:color w:val="0074B9"/>
            <w:kern w:val="0"/>
            <w:sz w:val="24"/>
            <w:szCs w:val="24"/>
            <w:lang w:val="en-GB" w:eastAsia="de-DE"/>
            <w14:ligatures w14:val="none"/>
          </w:rPr>
          <w:t xml:space="preserve">Lynch KE, Lynch R, Curhan GC, Brunelli SM. Prescribed dietary phosphate restriction and survival among hemodialysis patients. </w:t>
        </w:r>
        <w:r w:rsidRPr="00E24D50">
          <w:rPr>
            <w:rFonts w:ascii="Noto Sans" w:eastAsia="Times New Roman" w:hAnsi="Noto Sans" w:cs="Noto Sans"/>
            <w:color w:val="0074B9"/>
            <w:kern w:val="0"/>
            <w:sz w:val="24"/>
            <w:szCs w:val="24"/>
            <w:lang w:eastAsia="de-DE"/>
            <w14:ligatures w14:val="none"/>
          </w:rPr>
          <w:t>Clin J Am Soc Nephrol 2011; 6:620.</w:t>
        </w:r>
      </w:hyperlink>
    </w:p>
    <w:p w14:paraId="2EF8D7A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39" w:history="1">
        <w:r w:rsidRPr="00E24D50">
          <w:rPr>
            <w:rFonts w:ascii="Noto Sans" w:eastAsia="Times New Roman" w:hAnsi="Noto Sans" w:cs="Noto Sans"/>
            <w:color w:val="0074B9"/>
            <w:kern w:val="0"/>
            <w:sz w:val="24"/>
            <w:szCs w:val="24"/>
            <w:lang w:val="en-GB" w:eastAsia="de-DE"/>
            <w14:ligatures w14:val="none"/>
          </w:rPr>
          <w:t xml:space="preserve">Luo H, Feng J, Xue G, et al. Comparative Efficacy and Acceptability of 12 Phosphorus-Lowering Drugs in Adults with Hyperphosphatemia and Chronic Kidney Disease: A Systematic Review and Network Meta-Analysis. </w:t>
        </w:r>
        <w:r w:rsidRPr="00E24D50">
          <w:rPr>
            <w:rFonts w:ascii="Noto Sans" w:eastAsia="Times New Roman" w:hAnsi="Noto Sans" w:cs="Noto Sans"/>
            <w:color w:val="0074B9"/>
            <w:kern w:val="0"/>
            <w:sz w:val="24"/>
            <w:szCs w:val="24"/>
            <w:lang w:eastAsia="de-DE"/>
            <w14:ligatures w14:val="none"/>
          </w:rPr>
          <w:t>Blood Purif 2023; 52:609.</w:t>
        </w:r>
      </w:hyperlink>
    </w:p>
    <w:p w14:paraId="1B75CCE7"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0" w:history="1">
        <w:r w:rsidRPr="00E24D50">
          <w:rPr>
            <w:rFonts w:ascii="Noto Sans" w:eastAsia="Times New Roman" w:hAnsi="Noto Sans" w:cs="Noto Sans"/>
            <w:color w:val="0074B9"/>
            <w:kern w:val="0"/>
            <w:sz w:val="24"/>
            <w:szCs w:val="24"/>
            <w:lang w:val="en-GB" w:eastAsia="de-DE"/>
            <w14:ligatures w14:val="none"/>
          </w:rPr>
          <w:t xml:space="preserve">Di Iorio B, Bellasi A, Russo D, INDEPENDENT Study Investigators. Mortality in kidney disease patients treated with phosphate binders: a randomized study. </w:t>
        </w:r>
        <w:r w:rsidRPr="00E24D50">
          <w:rPr>
            <w:rFonts w:ascii="Noto Sans" w:eastAsia="Times New Roman" w:hAnsi="Noto Sans" w:cs="Noto Sans"/>
            <w:color w:val="0074B9"/>
            <w:kern w:val="0"/>
            <w:sz w:val="24"/>
            <w:szCs w:val="24"/>
            <w:lang w:eastAsia="de-DE"/>
            <w14:ligatures w14:val="none"/>
          </w:rPr>
          <w:t>Clin J Am Soc Nephrol 2012; 7:487.</w:t>
        </w:r>
      </w:hyperlink>
    </w:p>
    <w:p w14:paraId="11428C58"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1" w:history="1">
        <w:r w:rsidRPr="00E24D50">
          <w:rPr>
            <w:rFonts w:ascii="Noto Sans" w:eastAsia="Times New Roman" w:hAnsi="Noto Sans" w:cs="Noto Sans"/>
            <w:color w:val="0074B9"/>
            <w:kern w:val="0"/>
            <w:sz w:val="24"/>
            <w:szCs w:val="24"/>
            <w:lang w:val="en-GB" w:eastAsia="de-DE"/>
            <w14:ligatures w14:val="none"/>
          </w:rPr>
          <w:t xml:space="preserve">Di Iorio B, Molony D, Bell C, et al. Sevelamer versus calcium carbonate in incident hemodialysis patients: results of an open-label 24-month randomized clinical trial. </w:t>
        </w:r>
        <w:r w:rsidRPr="00E24D50">
          <w:rPr>
            <w:rFonts w:ascii="Noto Sans" w:eastAsia="Times New Roman" w:hAnsi="Noto Sans" w:cs="Noto Sans"/>
            <w:color w:val="0074B9"/>
            <w:kern w:val="0"/>
            <w:sz w:val="24"/>
            <w:szCs w:val="24"/>
            <w:lang w:eastAsia="de-DE"/>
            <w14:ligatures w14:val="none"/>
          </w:rPr>
          <w:t>Am J Kidney Dis 2013; 62:771.</w:t>
        </w:r>
      </w:hyperlink>
    </w:p>
    <w:p w14:paraId="410EB7F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2" w:history="1">
        <w:r w:rsidRPr="00E24D50">
          <w:rPr>
            <w:rFonts w:ascii="Noto Sans" w:eastAsia="Times New Roman" w:hAnsi="Noto Sans" w:cs="Noto Sans"/>
            <w:color w:val="0074B9"/>
            <w:kern w:val="0"/>
            <w:sz w:val="24"/>
            <w:szCs w:val="24"/>
            <w:lang w:val="en-GB" w:eastAsia="de-DE"/>
            <w14:ligatures w14:val="none"/>
          </w:rPr>
          <w:t xml:space="preserve">Chertow GM, Burke SK, Raggi P, Treat to Goal Working Group. Sevelamer attenuates the progression of coronary and aortic calcification in hemodialysis patients. </w:t>
        </w:r>
        <w:r w:rsidRPr="00E24D50">
          <w:rPr>
            <w:rFonts w:ascii="Noto Sans" w:eastAsia="Times New Roman" w:hAnsi="Noto Sans" w:cs="Noto Sans"/>
            <w:color w:val="0074B9"/>
            <w:kern w:val="0"/>
            <w:sz w:val="24"/>
            <w:szCs w:val="24"/>
            <w:lang w:eastAsia="de-DE"/>
            <w14:ligatures w14:val="none"/>
          </w:rPr>
          <w:t>Kidney Int 2002; 62:245.</w:t>
        </w:r>
      </w:hyperlink>
    </w:p>
    <w:p w14:paraId="6CB3D70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3" w:history="1">
        <w:r w:rsidRPr="00E24D50">
          <w:rPr>
            <w:rFonts w:ascii="Noto Sans" w:eastAsia="Times New Roman" w:hAnsi="Noto Sans" w:cs="Noto Sans"/>
            <w:color w:val="0074B9"/>
            <w:kern w:val="0"/>
            <w:sz w:val="24"/>
            <w:szCs w:val="24"/>
            <w:lang w:eastAsia="de-DE"/>
            <w14:ligatures w14:val="none"/>
          </w:rPr>
          <w:t xml:space="preserve">Sadek T, Mazouz H, Bahloul H, et al. </w:t>
        </w:r>
        <w:r w:rsidRPr="00E24D50">
          <w:rPr>
            <w:rFonts w:ascii="Noto Sans" w:eastAsia="Times New Roman" w:hAnsi="Noto Sans" w:cs="Noto Sans"/>
            <w:color w:val="0074B9"/>
            <w:kern w:val="0"/>
            <w:sz w:val="24"/>
            <w:szCs w:val="24"/>
            <w:lang w:val="en-GB" w:eastAsia="de-DE"/>
            <w14:ligatures w14:val="none"/>
          </w:rPr>
          <w:t xml:space="preserve">Sevelamer hydrochloride with or without alphacalcidol or higher dialysate calcium vs calcium carbonate in dialysis patients: an open-label, randomized study. </w:t>
        </w:r>
        <w:r w:rsidRPr="00E24D50">
          <w:rPr>
            <w:rFonts w:ascii="Noto Sans" w:eastAsia="Times New Roman" w:hAnsi="Noto Sans" w:cs="Noto Sans"/>
            <w:color w:val="0074B9"/>
            <w:kern w:val="0"/>
            <w:sz w:val="24"/>
            <w:szCs w:val="24"/>
            <w:lang w:eastAsia="de-DE"/>
            <w14:ligatures w14:val="none"/>
          </w:rPr>
          <w:t>Nephrol Dial Transplant 2003; 18:582.</w:t>
        </w:r>
      </w:hyperlink>
    </w:p>
    <w:p w14:paraId="4A4CAA51"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4" w:history="1">
        <w:r w:rsidRPr="00E24D50">
          <w:rPr>
            <w:rFonts w:ascii="Noto Sans" w:eastAsia="Times New Roman" w:hAnsi="Noto Sans" w:cs="Noto Sans"/>
            <w:color w:val="0074B9"/>
            <w:kern w:val="0"/>
            <w:sz w:val="24"/>
            <w:szCs w:val="24"/>
            <w:lang w:eastAsia="de-DE"/>
            <w14:ligatures w14:val="none"/>
          </w:rPr>
          <w:t xml:space="preserve">Block GA, Spiegel DM, Ehrlich J, et al. </w:t>
        </w:r>
        <w:r w:rsidRPr="00E24D50">
          <w:rPr>
            <w:rFonts w:ascii="Noto Sans" w:eastAsia="Times New Roman" w:hAnsi="Noto Sans" w:cs="Noto Sans"/>
            <w:color w:val="0074B9"/>
            <w:kern w:val="0"/>
            <w:sz w:val="24"/>
            <w:szCs w:val="24"/>
            <w:lang w:val="en-GB" w:eastAsia="de-DE"/>
            <w14:ligatures w14:val="none"/>
          </w:rPr>
          <w:t xml:space="preserve">Effects of sevelamer and calcium on coronary artery calcification in patients new to hemodialysis. </w:t>
        </w:r>
        <w:r w:rsidRPr="00E24D50">
          <w:rPr>
            <w:rFonts w:ascii="Noto Sans" w:eastAsia="Times New Roman" w:hAnsi="Noto Sans" w:cs="Noto Sans"/>
            <w:color w:val="0074B9"/>
            <w:kern w:val="0"/>
            <w:sz w:val="24"/>
            <w:szCs w:val="24"/>
            <w:lang w:eastAsia="de-DE"/>
            <w14:ligatures w14:val="none"/>
          </w:rPr>
          <w:t>Kidney Int 2005; 68:1815.</w:t>
        </w:r>
      </w:hyperlink>
    </w:p>
    <w:p w14:paraId="7A2EB49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5" w:history="1">
        <w:r w:rsidRPr="00E24D50">
          <w:rPr>
            <w:rFonts w:ascii="Noto Sans" w:eastAsia="Times New Roman" w:hAnsi="Noto Sans" w:cs="Noto Sans"/>
            <w:color w:val="0074B9"/>
            <w:kern w:val="0"/>
            <w:sz w:val="24"/>
            <w:szCs w:val="24"/>
            <w:lang w:val="en-GB" w:eastAsia="de-DE"/>
            <w14:ligatures w14:val="none"/>
          </w:rPr>
          <w:t xml:space="preserve">Block GA, Raggi P, Bellasi A, et al. Mortality effect of coronary calcification and phosphate binder choice in incident hemodialysis patients. </w:t>
        </w:r>
        <w:r w:rsidRPr="00E24D50">
          <w:rPr>
            <w:rFonts w:ascii="Noto Sans" w:eastAsia="Times New Roman" w:hAnsi="Noto Sans" w:cs="Noto Sans"/>
            <w:color w:val="0074B9"/>
            <w:kern w:val="0"/>
            <w:sz w:val="24"/>
            <w:szCs w:val="24"/>
            <w:lang w:eastAsia="de-DE"/>
            <w14:ligatures w14:val="none"/>
          </w:rPr>
          <w:t>Kidney Int 2007; 71:438.</w:t>
        </w:r>
      </w:hyperlink>
    </w:p>
    <w:p w14:paraId="6CD437B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6" w:history="1">
        <w:r w:rsidRPr="00E24D50">
          <w:rPr>
            <w:rFonts w:ascii="Noto Sans" w:eastAsia="Times New Roman" w:hAnsi="Noto Sans" w:cs="Noto Sans"/>
            <w:color w:val="0074B9"/>
            <w:kern w:val="0"/>
            <w:sz w:val="24"/>
            <w:szCs w:val="24"/>
            <w:lang w:val="en-GB" w:eastAsia="de-DE"/>
            <w14:ligatures w14:val="none"/>
          </w:rPr>
          <w:t xml:space="preserve">Suki WN, Zabaneh R, Cangiano JL, et al. Effects of sevelamer and calcium-based phosphate binders on mortality in hemodialysis patients. </w:t>
        </w:r>
        <w:r w:rsidRPr="00E24D50">
          <w:rPr>
            <w:rFonts w:ascii="Noto Sans" w:eastAsia="Times New Roman" w:hAnsi="Noto Sans" w:cs="Noto Sans"/>
            <w:color w:val="0074B9"/>
            <w:kern w:val="0"/>
            <w:sz w:val="24"/>
            <w:szCs w:val="24"/>
            <w:lang w:eastAsia="de-DE"/>
            <w14:ligatures w14:val="none"/>
          </w:rPr>
          <w:t>Kidney Int 2007; 72:1130.</w:t>
        </w:r>
      </w:hyperlink>
    </w:p>
    <w:p w14:paraId="246B30CB"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7" w:history="1">
        <w:r w:rsidRPr="00E24D50">
          <w:rPr>
            <w:rFonts w:ascii="Noto Sans" w:eastAsia="Times New Roman" w:hAnsi="Noto Sans" w:cs="Noto Sans"/>
            <w:color w:val="0074B9"/>
            <w:kern w:val="0"/>
            <w:sz w:val="24"/>
            <w:szCs w:val="24"/>
            <w:lang w:eastAsia="de-DE"/>
            <w14:ligatures w14:val="none"/>
          </w:rPr>
          <w:t xml:space="preserve">Tonelli M, Wiebe N, Culleton B, et al. </w:t>
        </w:r>
        <w:r w:rsidRPr="00E24D50">
          <w:rPr>
            <w:rFonts w:ascii="Noto Sans" w:eastAsia="Times New Roman" w:hAnsi="Noto Sans" w:cs="Noto Sans"/>
            <w:color w:val="0074B9"/>
            <w:kern w:val="0"/>
            <w:sz w:val="24"/>
            <w:szCs w:val="24"/>
            <w:lang w:val="en-GB" w:eastAsia="de-DE"/>
            <w14:ligatures w14:val="none"/>
          </w:rPr>
          <w:t xml:space="preserve">Systematic review of the clinical efficacy and safety of sevelamer in dialysis patients. </w:t>
        </w:r>
        <w:r w:rsidRPr="00E24D50">
          <w:rPr>
            <w:rFonts w:ascii="Noto Sans" w:eastAsia="Times New Roman" w:hAnsi="Noto Sans" w:cs="Noto Sans"/>
            <w:color w:val="0074B9"/>
            <w:kern w:val="0"/>
            <w:sz w:val="24"/>
            <w:szCs w:val="24"/>
            <w:lang w:eastAsia="de-DE"/>
            <w14:ligatures w14:val="none"/>
          </w:rPr>
          <w:t>Nephrol Dial Transplant 2007; 22:2856.</w:t>
        </w:r>
      </w:hyperlink>
    </w:p>
    <w:p w14:paraId="3F3B9B3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8" w:history="1">
        <w:r w:rsidRPr="00E24D50">
          <w:rPr>
            <w:rFonts w:ascii="Noto Sans" w:eastAsia="Times New Roman" w:hAnsi="Noto Sans" w:cs="Noto Sans"/>
            <w:color w:val="0074B9"/>
            <w:kern w:val="0"/>
            <w:sz w:val="24"/>
            <w:szCs w:val="24"/>
            <w:lang w:eastAsia="de-DE"/>
            <w14:ligatures w14:val="none"/>
          </w:rPr>
          <w:t xml:space="preserve">Shaheen FA, Akeel NM, Badawi LS, Souqiyyeh MZ. </w:t>
        </w:r>
        <w:r w:rsidRPr="00E24D50">
          <w:rPr>
            <w:rFonts w:ascii="Noto Sans" w:eastAsia="Times New Roman" w:hAnsi="Noto Sans" w:cs="Noto Sans"/>
            <w:color w:val="0074B9"/>
            <w:kern w:val="0"/>
            <w:sz w:val="24"/>
            <w:szCs w:val="24"/>
            <w:lang w:val="en-GB" w:eastAsia="de-DE"/>
            <w14:ligatures w14:val="none"/>
          </w:rPr>
          <w:t xml:space="preserve">Efficacy and safety of sevelamer. Comparison with calcium carbonate in the treatment of hyperphosphatemia in hemodialysis patients. </w:t>
        </w:r>
        <w:r w:rsidRPr="00E24D50">
          <w:rPr>
            <w:rFonts w:ascii="Noto Sans" w:eastAsia="Times New Roman" w:hAnsi="Noto Sans" w:cs="Noto Sans"/>
            <w:color w:val="0074B9"/>
            <w:kern w:val="0"/>
            <w:sz w:val="24"/>
            <w:szCs w:val="24"/>
            <w:lang w:eastAsia="de-DE"/>
            <w14:ligatures w14:val="none"/>
          </w:rPr>
          <w:t>Saudi Med J 2004; 25:785.</w:t>
        </w:r>
      </w:hyperlink>
    </w:p>
    <w:p w14:paraId="6CBE3AA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49" w:history="1">
        <w:r w:rsidRPr="00E24D50">
          <w:rPr>
            <w:rFonts w:ascii="Noto Sans" w:eastAsia="Times New Roman" w:hAnsi="Noto Sans" w:cs="Noto Sans"/>
            <w:color w:val="0074B9"/>
            <w:kern w:val="0"/>
            <w:sz w:val="24"/>
            <w:szCs w:val="24"/>
            <w:lang w:val="en-GB" w:eastAsia="de-DE"/>
            <w14:ligatures w14:val="none"/>
          </w:rPr>
          <w:t xml:space="preserve">St Peter WL, Liu J, Weinhandl E, Fan Q. A comparison of sevelamer and calcium-based phosphate binders on mortality, hospitalization, and morbidity in hemodialysis: a secondary analysis of the Dialysis Clinical Outcomes Revisited (DCOR) randomized trial using claims data. </w:t>
        </w:r>
        <w:r w:rsidRPr="00E24D50">
          <w:rPr>
            <w:rFonts w:ascii="Noto Sans" w:eastAsia="Times New Roman" w:hAnsi="Noto Sans" w:cs="Noto Sans"/>
            <w:color w:val="0074B9"/>
            <w:kern w:val="0"/>
            <w:sz w:val="24"/>
            <w:szCs w:val="24"/>
            <w:lang w:eastAsia="de-DE"/>
            <w14:ligatures w14:val="none"/>
          </w:rPr>
          <w:t>Am J Kidney Dis 2008; 51:445.</w:t>
        </w:r>
      </w:hyperlink>
    </w:p>
    <w:p w14:paraId="58DE442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0" w:history="1">
        <w:r w:rsidRPr="00E24D50">
          <w:rPr>
            <w:rFonts w:ascii="Noto Sans" w:eastAsia="Times New Roman" w:hAnsi="Noto Sans" w:cs="Noto Sans"/>
            <w:color w:val="0074B9"/>
            <w:kern w:val="0"/>
            <w:sz w:val="24"/>
            <w:szCs w:val="24"/>
            <w:lang w:val="en-GB" w:eastAsia="de-DE"/>
            <w14:ligatures w14:val="none"/>
          </w:rPr>
          <w:t xml:space="preserve">Wilson R, Zhang P, Smyth M, Pratt R. Assessment of survival in a 2-year comparative study of lanthanum carbonate versus standard therapy. </w:t>
        </w:r>
        <w:r w:rsidRPr="00E24D50">
          <w:rPr>
            <w:rFonts w:ascii="Noto Sans" w:eastAsia="Times New Roman" w:hAnsi="Noto Sans" w:cs="Noto Sans"/>
            <w:color w:val="0074B9"/>
            <w:kern w:val="0"/>
            <w:sz w:val="24"/>
            <w:szCs w:val="24"/>
            <w:lang w:eastAsia="de-DE"/>
            <w14:ligatures w14:val="none"/>
          </w:rPr>
          <w:t>Curr Med Res Opin 2009; 25:3021.</w:t>
        </w:r>
      </w:hyperlink>
    </w:p>
    <w:p w14:paraId="61E8B03B"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1" w:history="1">
        <w:r w:rsidRPr="00E24D50">
          <w:rPr>
            <w:rFonts w:ascii="Noto Sans" w:eastAsia="Times New Roman" w:hAnsi="Noto Sans" w:cs="Noto Sans"/>
            <w:color w:val="0074B9"/>
            <w:kern w:val="0"/>
            <w:sz w:val="24"/>
            <w:szCs w:val="24"/>
            <w:lang w:val="en-GB" w:eastAsia="de-DE"/>
            <w14:ligatures w14:val="none"/>
          </w:rPr>
          <w:t xml:space="preserve">Nishimoto M, Hasegawa T, Murashima M, et al. Efficacy and Safety of Phosphate-Lowering Agents for Adult Patients with CKD Requiring Dialysis: A Network Meta-Analysis. </w:t>
        </w:r>
        <w:r w:rsidRPr="00E24D50">
          <w:rPr>
            <w:rFonts w:ascii="Noto Sans" w:eastAsia="Times New Roman" w:hAnsi="Noto Sans" w:cs="Noto Sans"/>
            <w:color w:val="0074B9"/>
            <w:kern w:val="0"/>
            <w:sz w:val="24"/>
            <w:szCs w:val="24"/>
            <w:lang w:eastAsia="de-DE"/>
            <w14:ligatures w14:val="none"/>
          </w:rPr>
          <w:t>Clin J Am Soc Nephrol 2025; 20:676.</w:t>
        </w:r>
      </w:hyperlink>
    </w:p>
    <w:p w14:paraId="36BDA62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2" w:history="1">
        <w:r w:rsidRPr="00E24D50">
          <w:rPr>
            <w:rFonts w:ascii="Noto Sans" w:eastAsia="Times New Roman" w:hAnsi="Noto Sans" w:cs="Noto Sans"/>
            <w:color w:val="0074B9"/>
            <w:kern w:val="0"/>
            <w:sz w:val="24"/>
            <w:szCs w:val="24"/>
            <w:lang w:val="en-GB" w:eastAsia="de-DE"/>
            <w14:ligatures w14:val="none"/>
          </w:rPr>
          <w:t xml:space="preserve">Natale P, Green SC, Ruospo M, et al. Phosphate binders for preventing and treating chronic kidney disease-mineral and bone disorder (CKD-MBD). </w:t>
        </w:r>
        <w:r w:rsidRPr="00E24D50">
          <w:rPr>
            <w:rFonts w:ascii="Noto Sans" w:eastAsia="Times New Roman" w:hAnsi="Noto Sans" w:cs="Noto Sans"/>
            <w:color w:val="0074B9"/>
            <w:kern w:val="0"/>
            <w:sz w:val="24"/>
            <w:szCs w:val="24"/>
            <w:lang w:eastAsia="de-DE"/>
            <w14:ligatures w14:val="none"/>
          </w:rPr>
          <w:t>Cochrane Database Syst Rev 2025; 6:CD006023.</w:t>
        </w:r>
      </w:hyperlink>
    </w:p>
    <w:p w14:paraId="249BA3B3"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3" w:history="1">
        <w:r w:rsidRPr="00E24D50">
          <w:rPr>
            <w:rFonts w:ascii="Noto Sans" w:eastAsia="Times New Roman" w:hAnsi="Noto Sans" w:cs="Noto Sans"/>
            <w:color w:val="0074B9"/>
            <w:kern w:val="0"/>
            <w:sz w:val="24"/>
            <w:szCs w:val="24"/>
            <w:lang w:val="en-GB" w:eastAsia="de-DE"/>
            <w14:ligatures w14:val="none"/>
          </w:rPr>
          <w:t xml:space="preserve">Jamal SA, Vandermeer B, Raggi P, et al. Effect of calcium-based versus non-calcium-based phosphate binders on mortality in patients with chronic kidney disease: an updated systematic review and meta-analysis. </w:t>
        </w:r>
        <w:r w:rsidRPr="00E24D50">
          <w:rPr>
            <w:rFonts w:ascii="Noto Sans" w:eastAsia="Times New Roman" w:hAnsi="Noto Sans" w:cs="Noto Sans"/>
            <w:color w:val="0074B9"/>
            <w:kern w:val="0"/>
            <w:sz w:val="24"/>
            <w:szCs w:val="24"/>
            <w:lang w:eastAsia="de-DE"/>
            <w14:ligatures w14:val="none"/>
          </w:rPr>
          <w:t>Lancet 2013; 382:1268.</w:t>
        </w:r>
      </w:hyperlink>
    </w:p>
    <w:p w14:paraId="01E3BDBB"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4" w:history="1">
        <w:r w:rsidRPr="00E24D50">
          <w:rPr>
            <w:rFonts w:ascii="Noto Sans" w:eastAsia="Times New Roman" w:hAnsi="Noto Sans" w:cs="Noto Sans"/>
            <w:color w:val="0074B9"/>
            <w:kern w:val="0"/>
            <w:sz w:val="24"/>
            <w:szCs w:val="24"/>
            <w:lang w:eastAsia="de-DE"/>
            <w14:ligatures w14:val="none"/>
          </w:rPr>
          <w:t xml:space="preserve">Patel L, Bernard LM, Elder GJ. </w:t>
        </w:r>
        <w:r w:rsidRPr="00E24D50">
          <w:rPr>
            <w:rFonts w:ascii="Noto Sans" w:eastAsia="Times New Roman" w:hAnsi="Noto Sans" w:cs="Noto Sans"/>
            <w:color w:val="0074B9"/>
            <w:kern w:val="0"/>
            <w:sz w:val="24"/>
            <w:szCs w:val="24"/>
            <w:lang w:val="en-GB" w:eastAsia="de-DE"/>
            <w14:ligatures w14:val="none"/>
          </w:rPr>
          <w:t xml:space="preserve">Sevelamer Versus Calcium-Based Binders for Treatment of Hyperphosphatemia in CKD: A Meta-Analysis of Randomized Controlled Trials. </w:t>
        </w:r>
        <w:r w:rsidRPr="00E24D50">
          <w:rPr>
            <w:rFonts w:ascii="Noto Sans" w:eastAsia="Times New Roman" w:hAnsi="Noto Sans" w:cs="Noto Sans"/>
            <w:color w:val="0074B9"/>
            <w:kern w:val="0"/>
            <w:sz w:val="24"/>
            <w:szCs w:val="24"/>
            <w:lang w:eastAsia="de-DE"/>
            <w14:ligatures w14:val="none"/>
          </w:rPr>
          <w:t>Clin J Am Soc Nephrol 2016; 11:232.</w:t>
        </w:r>
      </w:hyperlink>
    </w:p>
    <w:p w14:paraId="18F26F2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5" w:history="1">
        <w:r w:rsidRPr="00E24D50">
          <w:rPr>
            <w:rFonts w:ascii="Noto Sans" w:eastAsia="Times New Roman" w:hAnsi="Noto Sans" w:cs="Noto Sans"/>
            <w:color w:val="0074B9"/>
            <w:kern w:val="0"/>
            <w:sz w:val="24"/>
            <w:szCs w:val="24"/>
            <w:lang w:eastAsia="de-DE"/>
            <w14:ligatures w14:val="none"/>
          </w:rPr>
          <w:t xml:space="preserve">Spoendlin J, Paik JM, Tsacogianis T, et al. </w:t>
        </w:r>
        <w:r w:rsidRPr="00E24D50">
          <w:rPr>
            <w:rFonts w:ascii="Noto Sans" w:eastAsia="Times New Roman" w:hAnsi="Noto Sans" w:cs="Noto Sans"/>
            <w:color w:val="0074B9"/>
            <w:kern w:val="0"/>
            <w:sz w:val="24"/>
            <w:szCs w:val="24"/>
            <w:lang w:val="en-GB" w:eastAsia="de-DE"/>
            <w14:ligatures w14:val="none"/>
          </w:rPr>
          <w:t xml:space="preserve">Cardiovascular Outcomes of Calcium-Free vs Calcium-Based Phosphate Binders in Patients 65 Years or Older With End-stage Renal Disease Requiring Hemodialysis. </w:t>
        </w:r>
        <w:r w:rsidRPr="00E24D50">
          <w:rPr>
            <w:rFonts w:ascii="Noto Sans" w:eastAsia="Times New Roman" w:hAnsi="Noto Sans" w:cs="Noto Sans"/>
            <w:color w:val="0074B9"/>
            <w:kern w:val="0"/>
            <w:sz w:val="24"/>
            <w:szCs w:val="24"/>
            <w:lang w:eastAsia="de-DE"/>
            <w14:ligatures w14:val="none"/>
          </w:rPr>
          <w:t>JAMA Intern Med 2019; 179:741.</w:t>
        </w:r>
      </w:hyperlink>
    </w:p>
    <w:p w14:paraId="279ED1D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6" w:history="1">
        <w:r w:rsidRPr="00E24D50">
          <w:rPr>
            <w:rFonts w:ascii="Noto Sans" w:eastAsia="Times New Roman" w:hAnsi="Noto Sans" w:cs="Noto Sans"/>
            <w:color w:val="0074B9"/>
            <w:kern w:val="0"/>
            <w:sz w:val="24"/>
            <w:szCs w:val="24"/>
            <w:lang w:eastAsia="de-DE"/>
            <w14:ligatures w14:val="none"/>
          </w:rPr>
          <w:t xml:space="preserve">Ogata H, Fukagawa M, Hirakata H, et al. </w:t>
        </w:r>
        <w:r w:rsidRPr="00E24D50">
          <w:rPr>
            <w:rFonts w:ascii="Noto Sans" w:eastAsia="Times New Roman" w:hAnsi="Noto Sans" w:cs="Noto Sans"/>
            <w:color w:val="0074B9"/>
            <w:kern w:val="0"/>
            <w:sz w:val="24"/>
            <w:szCs w:val="24"/>
            <w:lang w:val="en-GB" w:eastAsia="de-DE"/>
            <w14:ligatures w14:val="none"/>
          </w:rPr>
          <w:t xml:space="preserve">Effect of Treating Hyperphosphatemia With Lanthanum Carbonate vs Calcium Carbonate on Cardiovascular Events in Patients With Chronic Kidney Disease Undergoing Hemodialysis: The LANDMARK Randomized Clinical Trial. </w:t>
        </w:r>
        <w:r w:rsidRPr="00E24D50">
          <w:rPr>
            <w:rFonts w:ascii="Noto Sans" w:eastAsia="Times New Roman" w:hAnsi="Noto Sans" w:cs="Noto Sans"/>
            <w:color w:val="0074B9"/>
            <w:kern w:val="0"/>
            <w:sz w:val="24"/>
            <w:szCs w:val="24"/>
            <w:lang w:eastAsia="de-DE"/>
            <w14:ligatures w14:val="none"/>
          </w:rPr>
          <w:t>JAMA 2021; 325:1946.</w:t>
        </w:r>
      </w:hyperlink>
    </w:p>
    <w:p w14:paraId="12E4BEB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val="en-GB" w:eastAsia="de-DE"/>
          <w14:ligatures w14:val="none"/>
        </w:rPr>
      </w:pPr>
      <w:hyperlink r:id="rId57" w:history="1">
        <w:r w:rsidRPr="00E24D50">
          <w:rPr>
            <w:rFonts w:ascii="Noto Sans" w:eastAsia="Times New Roman" w:hAnsi="Noto Sans" w:cs="Noto Sans"/>
            <w:color w:val="0074B9"/>
            <w:kern w:val="0"/>
            <w:sz w:val="24"/>
            <w:szCs w:val="24"/>
            <w:lang w:val="en-GB" w:eastAsia="de-DE"/>
            <w14:ligatures w14:val="none"/>
          </w:rPr>
          <w:t>Block GA, Wheeler DC, Persky MS, et al. Effects of phosphate binders in moderate CKD. J Am Soc Nephrol 2012; 23:1407.</w:t>
        </w:r>
      </w:hyperlink>
    </w:p>
    <w:p w14:paraId="6C75EA6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8" w:history="1">
        <w:r w:rsidRPr="00E24D50">
          <w:rPr>
            <w:rFonts w:ascii="Noto Sans" w:eastAsia="Times New Roman" w:hAnsi="Noto Sans" w:cs="Noto Sans"/>
            <w:color w:val="0074B9"/>
            <w:kern w:val="0"/>
            <w:sz w:val="24"/>
            <w:szCs w:val="24"/>
            <w:lang w:val="en-GB" w:eastAsia="de-DE"/>
            <w14:ligatures w14:val="none"/>
          </w:rPr>
          <w:t xml:space="preserve">Chertow GM, Raggi P, Chasan-Taber S, et al. Determinants of progressive vascular calcification in haemodialysis patients. </w:t>
        </w:r>
        <w:r w:rsidRPr="00E24D50">
          <w:rPr>
            <w:rFonts w:ascii="Noto Sans" w:eastAsia="Times New Roman" w:hAnsi="Noto Sans" w:cs="Noto Sans"/>
            <w:color w:val="0074B9"/>
            <w:kern w:val="0"/>
            <w:sz w:val="24"/>
            <w:szCs w:val="24"/>
            <w:lang w:eastAsia="de-DE"/>
            <w14:ligatures w14:val="none"/>
          </w:rPr>
          <w:t>Nephrol Dial Transplant 2004; 19:1489.</w:t>
        </w:r>
      </w:hyperlink>
    </w:p>
    <w:p w14:paraId="02AEE69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59" w:history="1">
        <w:r w:rsidRPr="00E24D50">
          <w:rPr>
            <w:rFonts w:ascii="Noto Sans" w:eastAsia="Times New Roman" w:hAnsi="Noto Sans" w:cs="Noto Sans"/>
            <w:color w:val="0074B9"/>
            <w:kern w:val="0"/>
            <w:sz w:val="24"/>
            <w:szCs w:val="24"/>
            <w:lang w:val="en-GB" w:eastAsia="de-DE"/>
            <w14:ligatures w14:val="none"/>
          </w:rPr>
          <w:t xml:space="preserve">Hill KM, Martin BR, Wastney ME, et al. Oral calcium carbonate affects calcium but not phosphorus balance in stage 3-4 chronic kidney disease. </w:t>
        </w:r>
        <w:r w:rsidRPr="00E24D50">
          <w:rPr>
            <w:rFonts w:ascii="Noto Sans" w:eastAsia="Times New Roman" w:hAnsi="Noto Sans" w:cs="Noto Sans"/>
            <w:color w:val="0074B9"/>
            <w:kern w:val="0"/>
            <w:sz w:val="24"/>
            <w:szCs w:val="24"/>
            <w:lang w:eastAsia="de-DE"/>
            <w14:ligatures w14:val="none"/>
          </w:rPr>
          <w:t>Kidney Int 2013; 83:959.</w:t>
        </w:r>
      </w:hyperlink>
    </w:p>
    <w:p w14:paraId="0AD0C88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0" w:history="1">
        <w:r w:rsidRPr="00E24D50">
          <w:rPr>
            <w:rFonts w:ascii="Noto Sans" w:eastAsia="Times New Roman" w:hAnsi="Noto Sans" w:cs="Noto Sans"/>
            <w:color w:val="0074B9"/>
            <w:kern w:val="0"/>
            <w:sz w:val="24"/>
            <w:szCs w:val="24"/>
            <w:lang w:val="en-GB" w:eastAsia="de-DE"/>
            <w14:ligatures w14:val="none"/>
          </w:rPr>
          <w:t xml:space="preserve">Evenepoel P, Wolf M. A balanced view of calcium and phosphate homeostasis in chronic kidney disease. </w:t>
        </w:r>
        <w:r w:rsidRPr="00E24D50">
          <w:rPr>
            <w:rFonts w:ascii="Noto Sans" w:eastAsia="Times New Roman" w:hAnsi="Noto Sans" w:cs="Noto Sans"/>
            <w:color w:val="0074B9"/>
            <w:kern w:val="0"/>
            <w:sz w:val="24"/>
            <w:szCs w:val="24"/>
            <w:lang w:eastAsia="de-DE"/>
            <w14:ligatures w14:val="none"/>
          </w:rPr>
          <w:t>Kidney Int 2013; 83:789.</w:t>
        </w:r>
      </w:hyperlink>
    </w:p>
    <w:p w14:paraId="06AAD50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1" w:history="1">
        <w:r w:rsidRPr="00E24D50">
          <w:rPr>
            <w:rFonts w:ascii="Noto Sans" w:eastAsia="Times New Roman" w:hAnsi="Noto Sans" w:cs="Noto Sans"/>
            <w:color w:val="0074B9"/>
            <w:kern w:val="0"/>
            <w:sz w:val="24"/>
            <w:szCs w:val="24"/>
            <w:lang w:val="en-GB" w:eastAsia="de-DE"/>
            <w14:ligatures w14:val="none"/>
          </w:rPr>
          <w:t xml:space="preserve">Schiller LR, Santa Ana CA, Sheikh MS, et al. Effect of the time of administration of calcium acetate on phosphorus binding. </w:t>
        </w:r>
        <w:r w:rsidRPr="00E24D50">
          <w:rPr>
            <w:rFonts w:ascii="Noto Sans" w:eastAsia="Times New Roman" w:hAnsi="Noto Sans" w:cs="Noto Sans"/>
            <w:color w:val="0074B9"/>
            <w:kern w:val="0"/>
            <w:sz w:val="24"/>
            <w:szCs w:val="24"/>
            <w:lang w:eastAsia="de-DE"/>
            <w14:ligatures w14:val="none"/>
          </w:rPr>
          <w:t>N Engl J Med 1989; 320:1110.</w:t>
        </w:r>
      </w:hyperlink>
    </w:p>
    <w:p w14:paraId="62BBCF37"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2" w:history="1">
        <w:r w:rsidRPr="00E24D50">
          <w:rPr>
            <w:rFonts w:ascii="Noto Sans" w:eastAsia="Times New Roman" w:hAnsi="Noto Sans" w:cs="Noto Sans"/>
            <w:color w:val="0074B9"/>
            <w:kern w:val="0"/>
            <w:sz w:val="24"/>
            <w:szCs w:val="24"/>
            <w:lang w:val="en-GB" w:eastAsia="de-DE"/>
            <w14:ligatures w14:val="none"/>
          </w:rPr>
          <w:t xml:space="preserve">Delmez J, Block G, Robertson J, et al. A randomized, double-blind, crossover design study of sevelamer hydrochloride and sevelamer carbonate in patients on hemodialysis. </w:t>
        </w:r>
        <w:r w:rsidRPr="00E24D50">
          <w:rPr>
            <w:rFonts w:ascii="Noto Sans" w:eastAsia="Times New Roman" w:hAnsi="Noto Sans" w:cs="Noto Sans"/>
            <w:color w:val="0074B9"/>
            <w:kern w:val="0"/>
            <w:sz w:val="24"/>
            <w:szCs w:val="24"/>
            <w:lang w:eastAsia="de-DE"/>
            <w14:ligatures w14:val="none"/>
          </w:rPr>
          <w:t>Clin Nephrol 2007; 68:386.</w:t>
        </w:r>
      </w:hyperlink>
    </w:p>
    <w:p w14:paraId="5A0965D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3" w:history="1">
        <w:r w:rsidRPr="00E24D50">
          <w:rPr>
            <w:rFonts w:ascii="Noto Sans" w:eastAsia="Times New Roman" w:hAnsi="Noto Sans" w:cs="Noto Sans"/>
            <w:color w:val="0074B9"/>
            <w:kern w:val="0"/>
            <w:sz w:val="24"/>
            <w:szCs w:val="24"/>
            <w:lang w:val="en-GB" w:eastAsia="de-DE"/>
            <w14:ligatures w14:val="none"/>
          </w:rPr>
          <w:t xml:space="preserve">Chertow GM, Burke SK, Lazarus JM, et al. Poly[allylamine hydrochloride] (RenaGel): a noncalcemic phosphate binder for the treatment of hyperphosphatemia in chronic renal failure. </w:t>
        </w:r>
        <w:r w:rsidRPr="00E24D50">
          <w:rPr>
            <w:rFonts w:ascii="Noto Sans" w:eastAsia="Times New Roman" w:hAnsi="Noto Sans" w:cs="Noto Sans"/>
            <w:color w:val="0074B9"/>
            <w:kern w:val="0"/>
            <w:sz w:val="24"/>
            <w:szCs w:val="24"/>
            <w:lang w:eastAsia="de-DE"/>
            <w14:ligatures w14:val="none"/>
          </w:rPr>
          <w:t>Am J Kidney Dis 1997; 29:66.</w:t>
        </w:r>
      </w:hyperlink>
    </w:p>
    <w:p w14:paraId="3594115E"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4" w:history="1">
        <w:r w:rsidRPr="00E24D50">
          <w:rPr>
            <w:rFonts w:ascii="Noto Sans" w:eastAsia="Times New Roman" w:hAnsi="Noto Sans" w:cs="Noto Sans"/>
            <w:color w:val="0074B9"/>
            <w:kern w:val="0"/>
            <w:sz w:val="24"/>
            <w:szCs w:val="24"/>
            <w:lang w:val="en-GB" w:eastAsia="de-DE"/>
            <w14:ligatures w14:val="none"/>
          </w:rPr>
          <w:t xml:space="preserve">Goldberg DI, Dillon MA, Slatopolsky EA, et al. Effect of RenaGel, a non-absorbed, calcium- and aluminium-free phosphate binder, on serum </w:t>
        </w:r>
        <w:r w:rsidRPr="00E24D50">
          <w:rPr>
            <w:rFonts w:ascii="Noto Sans" w:eastAsia="Times New Roman" w:hAnsi="Noto Sans" w:cs="Noto Sans"/>
            <w:color w:val="0074B9"/>
            <w:kern w:val="0"/>
            <w:sz w:val="24"/>
            <w:szCs w:val="24"/>
            <w:lang w:val="en-GB" w:eastAsia="de-DE"/>
            <w14:ligatures w14:val="none"/>
          </w:rPr>
          <w:lastRenderedPageBreak/>
          <w:t xml:space="preserve">phosphorus, calcium, and intact parathyroid hormone in end-stage renal disease patients. </w:t>
        </w:r>
        <w:r w:rsidRPr="00E24D50">
          <w:rPr>
            <w:rFonts w:ascii="Noto Sans" w:eastAsia="Times New Roman" w:hAnsi="Noto Sans" w:cs="Noto Sans"/>
            <w:color w:val="0074B9"/>
            <w:kern w:val="0"/>
            <w:sz w:val="24"/>
            <w:szCs w:val="24"/>
            <w:lang w:eastAsia="de-DE"/>
            <w14:ligatures w14:val="none"/>
          </w:rPr>
          <w:t>Nephrol Dial Transplant 1998; 13:2303.</w:t>
        </w:r>
      </w:hyperlink>
    </w:p>
    <w:p w14:paraId="0C6B0217"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5" w:history="1">
        <w:r w:rsidRPr="00E24D50">
          <w:rPr>
            <w:rFonts w:ascii="Noto Sans" w:eastAsia="Times New Roman" w:hAnsi="Noto Sans" w:cs="Noto Sans"/>
            <w:color w:val="0074B9"/>
            <w:kern w:val="0"/>
            <w:sz w:val="24"/>
            <w:szCs w:val="24"/>
            <w:lang w:val="en-GB" w:eastAsia="de-DE"/>
            <w14:ligatures w14:val="none"/>
          </w:rPr>
          <w:t xml:space="preserve">Slatopolsky EA, Burke SK, Dillon MA. RenaGel, a nonabsorbed calcium- and aluminum-free phosphate binder, lowers serum phosphorus and parathyroid hormone. </w:t>
        </w:r>
        <w:r w:rsidRPr="00E24D50">
          <w:rPr>
            <w:rFonts w:ascii="Noto Sans" w:eastAsia="Times New Roman" w:hAnsi="Noto Sans" w:cs="Noto Sans"/>
            <w:color w:val="0074B9"/>
            <w:kern w:val="0"/>
            <w:sz w:val="24"/>
            <w:szCs w:val="24"/>
            <w:lang w:eastAsia="de-DE"/>
            <w14:ligatures w14:val="none"/>
          </w:rPr>
          <w:t>The RenaGel Study Group. Kidney Int 1999; 55:299.</w:t>
        </w:r>
      </w:hyperlink>
    </w:p>
    <w:p w14:paraId="003BF60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6" w:history="1">
        <w:r w:rsidRPr="00E24D50">
          <w:rPr>
            <w:rFonts w:ascii="Noto Sans" w:eastAsia="Times New Roman" w:hAnsi="Noto Sans" w:cs="Noto Sans"/>
            <w:color w:val="0074B9"/>
            <w:kern w:val="0"/>
            <w:sz w:val="24"/>
            <w:szCs w:val="24"/>
            <w:lang w:val="en-GB" w:eastAsia="de-DE"/>
            <w14:ligatures w14:val="none"/>
          </w:rPr>
          <w:t xml:space="preserve">Chertow GM, Dillon M, Burke SK, et al. A randomized trial of sevelamer hydrochloride (RenaGel) with and without supplemental calcium. Strategies for the control of hyperphosphatemia and hyperparathyroidism in hemodialysis patients. </w:t>
        </w:r>
        <w:r w:rsidRPr="00E24D50">
          <w:rPr>
            <w:rFonts w:ascii="Noto Sans" w:eastAsia="Times New Roman" w:hAnsi="Noto Sans" w:cs="Noto Sans"/>
            <w:color w:val="0074B9"/>
            <w:kern w:val="0"/>
            <w:sz w:val="24"/>
            <w:szCs w:val="24"/>
            <w:lang w:eastAsia="de-DE"/>
            <w14:ligatures w14:val="none"/>
          </w:rPr>
          <w:t>Clin Nephrol 1999; 51:18.</w:t>
        </w:r>
      </w:hyperlink>
    </w:p>
    <w:p w14:paraId="175999C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7" w:history="1">
        <w:r w:rsidRPr="00E24D50">
          <w:rPr>
            <w:rFonts w:ascii="Noto Sans" w:eastAsia="Times New Roman" w:hAnsi="Noto Sans" w:cs="Noto Sans"/>
            <w:color w:val="0074B9"/>
            <w:kern w:val="0"/>
            <w:sz w:val="24"/>
            <w:szCs w:val="24"/>
            <w:lang w:val="en-GB" w:eastAsia="de-DE"/>
            <w14:ligatures w14:val="none"/>
          </w:rPr>
          <w:t xml:space="preserve">Bleyer AJ, Burke SK, Dillon M, et al. A comparison of the calcium-free phosphate binder sevelamer hydrochloride with calcium acetate in the treatment of hyperphosphatemia in hemodialysis patients. </w:t>
        </w:r>
        <w:r w:rsidRPr="00E24D50">
          <w:rPr>
            <w:rFonts w:ascii="Noto Sans" w:eastAsia="Times New Roman" w:hAnsi="Noto Sans" w:cs="Noto Sans"/>
            <w:color w:val="0074B9"/>
            <w:kern w:val="0"/>
            <w:sz w:val="24"/>
            <w:szCs w:val="24"/>
            <w:lang w:eastAsia="de-DE"/>
            <w14:ligatures w14:val="none"/>
          </w:rPr>
          <w:t>Am J Kidney Dis 1999; 33:694.</w:t>
        </w:r>
      </w:hyperlink>
    </w:p>
    <w:p w14:paraId="636CFBB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8" w:history="1">
        <w:r w:rsidRPr="00E24D50">
          <w:rPr>
            <w:rFonts w:ascii="Noto Sans" w:eastAsia="Times New Roman" w:hAnsi="Noto Sans" w:cs="Noto Sans"/>
            <w:color w:val="0074B9"/>
            <w:kern w:val="0"/>
            <w:sz w:val="24"/>
            <w:szCs w:val="24"/>
            <w:lang w:val="en-GB" w:eastAsia="de-DE"/>
            <w14:ligatures w14:val="none"/>
          </w:rPr>
          <w:t xml:space="preserve">Ogata H, Koiwa F, Shishido K, Kinugasa E. Combination therapy with sevelamer hydrochloride and calcium carbonate in Japanese patients with long-term hemodialysis: alternative approach for optimal mineral management. </w:t>
        </w:r>
        <w:r w:rsidRPr="00E24D50">
          <w:rPr>
            <w:rFonts w:ascii="Noto Sans" w:eastAsia="Times New Roman" w:hAnsi="Noto Sans" w:cs="Noto Sans"/>
            <w:color w:val="0074B9"/>
            <w:kern w:val="0"/>
            <w:sz w:val="24"/>
            <w:szCs w:val="24"/>
            <w:lang w:eastAsia="de-DE"/>
            <w14:ligatures w14:val="none"/>
          </w:rPr>
          <w:t>Ther Apher Dial 2005; 9:11.</w:t>
        </w:r>
      </w:hyperlink>
    </w:p>
    <w:p w14:paraId="6702CD2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69" w:history="1">
        <w:r w:rsidRPr="00E24D50">
          <w:rPr>
            <w:rFonts w:ascii="Noto Sans" w:eastAsia="Times New Roman" w:hAnsi="Noto Sans" w:cs="Noto Sans"/>
            <w:color w:val="0074B9"/>
            <w:kern w:val="0"/>
            <w:sz w:val="24"/>
            <w:szCs w:val="24"/>
            <w:lang w:eastAsia="de-DE"/>
            <w14:ligatures w14:val="none"/>
          </w:rPr>
          <w:t xml:space="preserve">Fischer D, Cline K, Plone MA, et al. </w:t>
        </w:r>
        <w:r w:rsidRPr="00E24D50">
          <w:rPr>
            <w:rFonts w:ascii="Noto Sans" w:eastAsia="Times New Roman" w:hAnsi="Noto Sans" w:cs="Noto Sans"/>
            <w:color w:val="0074B9"/>
            <w:kern w:val="0"/>
            <w:sz w:val="24"/>
            <w:szCs w:val="24"/>
            <w:lang w:val="en-GB" w:eastAsia="de-DE"/>
            <w14:ligatures w14:val="none"/>
          </w:rPr>
          <w:t xml:space="preserve">Results of a randomized crossover study comparing once-daily and thrice-daily sevelamer dosing. </w:t>
        </w:r>
        <w:r w:rsidRPr="00E24D50">
          <w:rPr>
            <w:rFonts w:ascii="Noto Sans" w:eastAsia="Times New Roman" w:hAnsi="Noto Sans" w:cs="Noto Sans"/>
            <w:color w:val="0074B9"/>
            <w:kern w:val="0"/>
            <w:sz w:val="24"/>
            <w:szCs w:val="24"/>
            <w:lang w:eastAsia="de-DE"/>
            <w14:ligatures w14:val="none"/>
          </w:rPr>
          <w:t>Am J Kidney Dis 2006; 48:437.</w:t>
        </w:r>
      </w:hyperlink>
    </w:p>
    <w:p w14:paraId="7184F308"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0" w:history="1">
        <w:r w:rsidRPr="00E24D50">
          <w:rPr>
            <w:rFonts w:ascii="Noto Sans" w:eastAsia="Times New Roman" w:hAnsi="Noto Sans" w:cs="Noto Sans"/>
            <w:color w:val="0074B9"/>
            <w:kern w:val="0"/>
            <w:sz w:val="24"/>
            <w:szCs w:val="24"/>
            <w:lang w:val="en-GB" w:eastAsia="de-DE"/>
            <w14:ligatures w14:val="none"/>
          </w:rPr>
          <w:t xml:space="preserve">Ketteler M, Rix M, Fan S, et al. Efficacy and tolerability of sevelamer carbonate in hyperphosphatemic patients who have chronic kidney disease and are not on dialysis. </w:t>
        </w:r>
        <w:r w:rsidRPr="00E24D50">
          <w:rPr>
            <w:rFonts w:ascii="Noto Sans" w:eastAsia="Times New Roman" w:hAnsi="Noto Sans" w:cs="Noto Sans"/>
            <w:color w:val="0074B9"/>
            <w:kern w:val="0"/>
            <w:sz w:val="24"/>
            <w:szCs w:val="24"/>
            <w:lang w:eastAsia="de-DE"/>
            <w14:ligatures w14:val="none"/>
          </w:rPr>
          <w:t>Clin J Am Soc Nephrol 2008; 3:1125.</w:t>
        </w:r>
      </w:hyperlink>
    </w:p>
    <w:p w14:paraId="146C7E0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1" w:history="1">
        <w:r w:rsidRPr="00E24D50">
          <w:rPr>
            <w:rFonts w:ascii="Noto Sans" w:eastAsia="Times New Roman" w:hAnsi="Noto Sans" w:cs="Noto Sans"/>
            <w:color w:val="0074B9"/>
            <w:kern w:val="0"/>
            <w:sz w:val="24"/>
            <w:szCs w:val="24"/>
            <w:lang w:eastAsia="de-DE"/>
            <w14:ligatures w14:val="none"/>
          </w:rPr>
          <w:t xml:space="preserve">Manns B, Stevens L, Miskulin D, et al. </w:t>
        </w:r>
        <w:r w:rsidRPr="00E24D50">
          <w:rPr>
            <w:rFonts w:ascii="Noto Sans" w:eastAsia="Times New Roman" w:hAnsi="Noto Sans" w:cs="Noto Sans"/>
            <w:color w:val="0074B9"/>
            <w:kern w:val="0"/>
            <w:sz w:val="24"/>
            <w:szCs w:val="24"/>
            <w:lang w:val="en-GB" w:eastAsia="de-DE"/>
            <w14:ligatures w14:val="none"/>
          </w:rPr>
          <w:t xml:space="preserve">A systematic review of sevelamer in ESRD and an analysis of its potential economic impact in Canada and the United States. </w:t>
        </w:r>
        <w:r w:rsidRPr="00E24D50">
          <w:rPr>
            <w:rFonts w:ascii="Noto Sans" w:eastAsia="Times New Roman" w:hAnsi="Noto Sans" w:cs="Noto Sans"/>
            <w:color w:val="0074B9"/>
            <w:kern w:val="0"/>
            <w:sz w:val="24"/>
            <w:szCs w:val="24"/>
            <w:lang w:eastAsia="de-DE"/>
            <w14:ligatures w14:val="none"/>
          </w:rPr>
          <w:t>Kidney Int 2004; 66:1239.</w:t>
        </w:r>
      </w:hyperlink>
    </w:p>
    <w:p w14:paraId="212ACF3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2" w:history="1">
        <w:r w:rsidRPr="00E24D50">
          <w:rPr>
            <w:rFonts w:ascii="Noto Sans" w:eastAsia="Times New Roman" w:hAnsi="Noto Sans" w:cs="Noto Sans"/>
            <w:color w:val="0074B9"/>
            <w:kern w:val="0"/>
            <w:sz w:val="24"/>
            <w:szCs w:val="24"/>
            <w:lang w:eastAsia="de-DE"/>
            <w14:ligatures w14:val="none"/>
          </w:rPr>
          <w:t xml:space="preserve">Manns B, Klarenbach S, Lee H, et al. </w:t>
        </w:r>
        <w:r w:rsidRPr="00E24D50">
          <w:rPr>
            <w:rFonts w:ascii="Noto Sans" w:eastAsia="Times New Roman" w:hAnsi="Noto Sans" w:cs="Noto Sans"/>
            <w:color w:val="0074B9"/>
            <w:kern w:val="0"/>
            <w:sz w:val="24"/>
            <w:szCs w:val="24"/>
            <w:lang w:val="en-GB" w:eastAsia="de-DE"/>
            <w14:ligatures w14:val="none"/>
          </w:rPr>
          <w:t xml:space="preserve">Economic evaluation of sevelamer in patients with end-stage renal disease. </w:t>
        </w:r>
        <w:r w:rsidRPr="00E24D50">
          <w:rPr>
            <w:rFonts w:ascii="Noto Sans" w:eastAsia="Times New Roman" w:hAnsi="Noto Sans" w:cs="Noto Sans"/>
            <w:color w:val="0074B9"/>
            <w:kern w:val="0"/>
            <w:sz w:val="24"/>
            <w:szCs w:val="24"/>
            <w:lang w:eastAsia="de-DE"/>
            <w14:ligatures w14:val="none"/>
          </w:rPr>
          <w:t>Nephrol Dial Transplant 2007; 22:2867.</w:t>
        </w:r>
      </w:hyperlink>
    </w:p>
    <w:p w14:paraId="025B7B0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3" w:history="1">
        <w:r w:rsidRPr="00E24D50">
          <w:rPr>
            <w:rFonts w:ascii="Noto Sans" w:eastAsia="Times New Roman" w:hAnsi="Noto Sans" w:cs="Noto Sans"/>
            <w:color w:val="0074B9"/>
            <w:kern w:val="0"/>
            <w:sz w:val="24"/>
            <w:szCs w:val="24"/>
            <w:lang w:val="en-GB" w:eastAsia="de-DE"/>
            <w14:ligatures w14:val="none"/>
          </w:rPr>
          <w:t xml:space="preserve">Joy MS, Finn WF, LAM-302 Study Group. Randomized, double-blind, placebo-controlled, dose-titration, phase III study assessing the efficacy and tolerability of lanthanum carbonate: a new phosphate binder for the treatment of hyperphosphatemia. </w:t>
        </w:r>
        <w:r w:rsidRPr="00E24D50">
          <w:rPr>
            <w:rFonts w:ascii="Noto Sans" w:eastAsia="Times New Roman" w:hAnsi="Noto Sans" w:cs="Noto Sans"/>
            <w:color w:val="0074B9"/>
            <w:kern w:val="0"/>
            <w:sz w:val="24"/>
            <w:szCs w:val="24"/>
            <w:lang w:eastAsia="de-DE"/>
            <w14:ligatures w14:val="none"/>
          </w:rPr>
          <w:t>Am J Kidney Dis 2003; 42:96.</w:t>
        </w:r>
      </w:hyperlink>
    </w:p>
    <w:p w14:paraId="0A8C329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4" w:history="1">
        <w:r w:rsidRPr="00E24D50">
          <w:rPr>
            <w:rFonts w:ascii="Noto Sans" w:eastAsia="Times New Roman" w:hAnsi="Noto Sans" w:cs="Noto Sans"/>
            <w:color w:val="0074B9"/>
            <w:kern w:val="0"/>
            <w:sz w:val="24"/>
            <w:szCs w:val="24"/>
            <w:lang w:val="en-GB" w:eastAsia="de-DE"/>
            <w14:ligatures w14:val="none"/>
          </w:rPr>
          <w:t xml:space="preserve">Hutchison AJ, Speake M, Al-Baaj F. Reducing high phosphate levels in patients with chronic renal failure undergoing dialysis: a 4-week, dose-finding, open-label study with lanthanum carbonate. </w:t>
        </w:r>
        <w:r w:rsidRPr="00E24D50">
          <w:rPr>
            <w:rFonts w:ascii="Noto Sans" w:eastAsia="Times New Roman" w:hAnsi="Noto Sans" w:cs="Noto Sans"/>
            <w:color w:val="0074B9"/>
            <w:kern w:val="0"/>
            <w:sz w:val="24"/>
            <w:szCs w:val="24"/>
            <w:lang w:eastAsia="de-DE"/>
            <w14:ligatures w14:val="none"/>
          </w:rPr>
          <w:t>Nephrol Dial Transplant 2004; 19:1902.</w:t>
        </w:r>
      </w:hyperlink>
    </w:p>
    <w:p w14:paraId="3F7D52F3"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5" w:history="1">
        <w:r w:rsidRPr="00E24D50">
          <w:rPr>
            <w:rFonts w:ascii="Noto Sans" w:eastAsia="Times New Roman" w:hAnsi="Noto Sans" w:cs="Noto Sans"/>
            <w:color w:val="0074B9"/>
            <w:kern w:val="0"/>
            <w:sz w:val="24"/>
            <w:szCs w:val="24"/>
            <w:lang w:val="en-GB" w:eastAsia="de-DE"/>
            <w14:ligatures w14:val="none"/>
          </w:rPr>
          <w:t xml:space="preserve">Finn WF, Joy MS, Hladik G, Lanthanum Study Group. Efficacy and safety of lanthanum carbonate for reduction of serum phosphorus in patients with chronic renal failure receiving hemodialysis. </w:t>
        </w:r>
        <w:r w:rsidRPr="00E24D50">
          <w:rPr>
            <w:rFonts w:ascii="Noto Sans" w:eastAsia="Times New Roman" w:hAnsi="Noto Sans" w:cs="Noto Sans"/>
            <w:color w:val="0074B9"/>
            <w:kern w:val="0"/>
            <w:sz w:val="24"/>
            <w:szCs w:val="24"/>
            <w:lang w:eastAsia="de-DE"/>
            <w14:ligatures w14:val="none"/>
          </w:rPr>
          <w:t>Clin Nephrol 2004; 62:193.</w:t>
        </w:r>
      </w:hyperlink>
    </w:p>
    <w:p w14:paraId="45E4166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6" w:history="1">
        <w:r w:rsidRPr="00E24D50">
          <w:rPr>
            <w:rFonts w:ascii="Noto Sans" w:eastAsia="Times New Roman" w:hAnsi="Noto Sans" w:cs="Noto Sans"/>
            <w:color w:val="0074B9"/>
            <w:kern w:val="0"/>
            <w:sz w:val="24"/>
            <w:szCs w:val="24"/>
            <w:lang w:val="en-GB" w:eastAsia="de-DE"/>
            <w14:ligatures w14:val="none"/>
          </w:rPr>
          <w:t xml:space="preserve">Behets GJ, Verberckmoes SC, D'Haese PC, De Broe ME. Lanthanum carbonate: a new phosphate binder. </w:t>
        </w:r>
        <w:r w:rsidRPr="00E24D50">
          <w:rPr>
            <w:rFonts w:ascii="Noto Sans" w:eastAsia="Times New Roman" w:hAnsi="Noto Sans" w:cs="Noto Sans"/>
            <w:color w:val="0074B9"/>
            <w:kern w:val="0"/>
            <w:sz w:val="24"/>
            <w:szCs w:val="24"/>
            <w:lang w:eastAsia="de-DE"/>
            <w14:ligatures w14:val="none"/>
          </w:rPr>
          <w:t>Curr Opin Nephrol Hypertens 2004; 13:403.</w:t>
        </w:r>
      </w:hyperlink>
    </w:p>
    <w:p w14:paraId="5A3D1C3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7" w:history="1">
        <w:r w:rsidRPr="00E24D50">
          <w:rPr>
            <w:rFonts w:ascii="Noto Sans" w:eastAsia="Times New Roman" w:hAnsi="Noto Sans" w:cs="Noto Sans"/>
            <w:color w:val="0074B9"/>
            <w:kern w:val="0"/>
            <w:sz w:val="24"/>
            <w:szCs w:val="24"/>
            <w:lang w:val="en-GB" w:eastAsia="de-DE"/>
            <w14:ligatures w14:val="none"/>
          </w:rPr>
          <w:t xml:space="preserve">Hutchison AJ, Maes B, Vanwalleghem J, et al. Efficacy, tolerability, and safety of lanthanum carbonate in hyperphosphatemia: a 6-month, randomized, comparative trial versus calcium carbonate. </w:t>
        </w:r>
        <w:r w:rsidRPr="00E24D50">
          <w:rPr>
            <w:rFonts w:ascii="Noto Sans" w:eastAsia="Times New Roman" w:hAnsi="Noto Sans" w:cs="Noto Sans"/>
            <w:color w:val="0074B9"/>
            <w:kern w:val="0"/>
            <w:sz w:val="24"/>
            <w:szCs w:val="24"/>
            <w:lang w:eastAsia="de-DE"/>
            <w14:ligatures w14:val="none"/>
          </w:rPr>
          <w:t>Nephron Clin Pract 2005; 100:c8.</w:t>
        </w:r>
      </w:hyperlink>
    </w:p>
    <w:p w14:paraId="756FD11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8" w:history="1">
        <w:r w:rsidRPr="00E24D50">
          <w:rPr>
            <w:rFonts w:ascii="Noto Sans" w:eastAsia="Times New Roman" w:hAnsi="Noto Sans" w:cs="Noto Sans"/>
            <w:color w:val="0074B9"/>
            <w:kern w:val="0"/>
            <w:sz w:val="24"/>
            <w:szCs w:val="24"/>
            <w:lang w:val="en-GB" w:eastAsia="de-DE"/>
            <w14:ligatures w14:val="none"/>
          </w:rPr>
          <w:t xml:space="preserve">Chiang SS, Chen JB, Yang WC. Lanthanum carbonate (Fosrenol) efficacy and tolerability in the treatment of hyperphosphatemic patients with end-stage renal disease. </w:t>
        </w:r>
        <w:r w:rsidRPr="00E24D50">
          <w:rPr>
            <w:rFonts w:ascii="Noto Sans" w:eastAsia="Times New Roman" w:hAnsi="Noto Sans" w:cs="Noto Sans"/>
            <w:color w:val="0074B9"/>
            <w:kern w:val="0"/>
            <w:sz w:val="24"/>
            <w:szCs w:val="24"/>
            <w:lang w:eastAsia="de-DE"/>
            <w14:ligatures w14:val="none"/>
          </w:rPr>
          <w:t>Clin Nephrol 2005; 63:461.</w:t>
        </w:r>
      </w:hyperlink>
    </w:p>
    <w:p w14:paraId="5DB5C6F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79" w:history="1">
        <w:r w:rsidRPr="00E24D50">
          <w:rPr>
            <w:rFonts w:ascii="Noto Sans" w:eastAsia="Times New Roman" w:hAnsi="Noto Sans" w:cs="Noto Sans"/>
            <w:color w:val="0074B9"/>
            <w:kern w:val="0"/>
            <w:sz w:val="24"/>
            <w:szCs w:val="24"/>
            <w:lang w:val="en-GB" w:eastAsia="de-DE"/>
            <w14:ligatures w14:val="none"/>
          </w:rPr>
          <w:t xml:space="preserve">Finn WF, SPD 405-307 Lanthanum Study Group. Lanthanum carbonate versus standard therapy for the treatment of hyperphosphatemia: safety and efficacy in chronic maintenance hemodialysis patients. </w:t>
        </w:r>
        <w:r w:rsidRPr="00E24D50">
          <w:rPr>
            <w:rFonts w:ascii="Noto Sans" w:eastAsia="Times New Roman" w:hAnsi="Noto Sans" w:cs="Noto Sans"/>
            <w:color w:val="0074B9"/>
            <w:kern w:val="0"/>
            <w:sz w:val="24"/>
            <w:szCs w:val="24"/>
            <w:lang w:eastAsia="de-DE"/>
            <w14:ligatures w14:val="none"/>
          </w:rPr>
          <w:t>Clin Nephrol 2006; 65:191.</w:t>
        </w:r>
      </w:hyperlink>
    </w:p>
    <w:p w14:paraId="219E903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0" w:history="1">
        <w:r w:rsidRPr="00E24D50">
          <w:rPr>
            <w:rFonts w:ascii="Noto Sans" w:eastAsia="Times New Roman" w:hAnsi="Noto Sans" w:cs="Noto Sans"/>
            <w:color w:val="0074B9"/>
            <w:kern w:val="0"/>
            <w:sz w:val="24"/>
            <w:szCs w:val="24"/>
            <w:lang w:val="en-GB" w:eastAsia="de-DE"/>
            <w14:ligatures w14:val="none"/>
          </w:rPr>
          <w:t xml:space="preserve">Persy VP, Behets GJ, Bervoets AR, et al. Lanthanum: a safe phosphate binder. </w:t>
        </w:r>
        <w:r w:rsidRPr="00E24D50">
          <w:rPr>
            <w:rFonts w:ascii="Noto Sans" w:eastAsia="Times New Roman" w:hAnsi="Noto Sans" w:cs="Noto Sans"/>
            <w:color w:val="0074B9"/>
            <w:kern w:val="0"/>
            <w:sz w:val="24"/>
            <w:szCs w:val="24"/>
            <w:lang w:eastAsia="de-DE"/>
            <w14:ligatures w14:val="none"/>
          </w:rPr>
          <w:t>Semin Dial 2006; 19:195.</w:t>
        </w:r>
      </w:hyperlink>
    </w:p>
    <w:p w14:paraId="5B0FD823"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1" w:history="1">
        <w:r w:rsidRPr="00E24D50">
          <w:rPr>
            <w:rFonts w:ascii="Noto Sans" w:eastAsia="Times New Roman" w:hAnsi="Noto Sans" w:cs="Noto Sans"/>
            <w:color w:val="0074B9"/>
            <w:kern w:val="0"/>
            <w:sz w:val="24"/>
            <w:szCs w:val="24"/>
            <w:lang w:val="en-GB" w:eastAsia="de-DE"/>
            <w14:ligatures w14:val="none"/>
          </w:rPr>
          <w:t xml:space="preserve">Sprague SM, Abboud H, Qiu P, et al. Lanthanum carbonate reduces phosphorus burden in patients with CKD stages 3 and 4: a randomized trial. </w:t>
        </w:r>
        <w:r w:rsidRPr="00E24D50">
          <w:rPr>
            <w:rFonts w:ascii="Noto Sans" w:eastAsia="Times New Roman" w:hAnsi="Noto Sans" w:cs="Noto Sans"/>
            <w:color w:val="0074B9"/>
            <w:kern w:val="0"/>
            <w:sz w:val="24"/>
            <w:szCs w:val="24"/>
            <w:lang w:eastAsia="de-DE"/>
            <w14:ligatures w14:val="none"/>
          </w:rPr>
          <w:t>Clin J Am Soc Nephrol 2009; 4:178.</w:t>
        </w:r>
      </w:hyperlink>
    </w:p>
    <w:p w14:paraId="09E3931B"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2" w:history="1">
        <w:r w:rsidRPr="00E24D50">
          <w:rPr>
            <w:rFonts w:ascii="Noto Sans" w:eastAsia="Times New Roman" w:hAnsi="Noto Sans" w:cs="Noto Sans"/>
            <w:color w:val="0074B9"/>
            <w:kern w:val="0"/>
            <w:sz w:val="24"/>
            <w:szCs w:val="24"/>
            <w:lang w:val="en-GB" w:eastAsia="de-DE"/>
            <w14:ligatures w14:val="none"/>
          </w:rPr>
          <w:t xml:space="preserve">D'Haese PC, Spasovski GB, Sikole A, et al. A multicenter study on the effects of lanthanum carbonate (Fosrenol) and calcium carbonate on renal bone disease in dialysis patients. </w:t>
        </w:r>
        <w:r w:rsidRPr="00E24D50">
          <w:rPr>
            <w:rFonts w:ascii="Noto Sans" w:eastAsia="Times New Roman" w:hAnsi="Noto Sans" w:cs="Noto Sans"/>
            <w:color w:val="0074B9"/>
            <w:kern w:val="0"/>
            <w:sz w:val="24"/>
            <w:szCs w:val="24"/>
            <w:lang w:eastAsia="de-DE"/>
            <w14:ligatures w14:val="none"/>
          </w:rPr>
          <w:t>Kidney Int Suppl 2003; :S73.</w:t>
        </w:r>
      </w:hyperlink>
    </w:p>
    <w:p w14:paraId="7A8F24D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3" w:history="1">
        <w:r w:rsidRPr="00E24D50">
          <w:rPr>
            <w:rFonts w:ascii="Noto Sans" w:eastAsia="Times New Roman" w:hAnsi="Noto Sans" w:cs="Noto Sans"/>
            <w:color w:val="0074B9"/>
            <w:kern w:val="0"/>
            <w:sz w:val="24"/>
            <w:szCs w:val="24"/>
            <w:lang w:val="en-GB" w:eastAsia="de-DE"/>
            <w14:ligatures w14:val="none"/>
          </w:rPr>
          <w:t xml:space="preserve">Freemont T, Malluche HH. Utilization of bone histomorphometry in renal osteodystrophy: demonstration of a new approach using data from a prospective study of lanthanum carbonate. </w:t>
        </w:r>
        <w:r w:rsidRPr="00E24D50">
          <w:rPr>
            <w:rFonts w:ascii="Noto Sans" w:eastAsia="Times New Roman" w:hAnsi="Noto Sans" w:cs="Noto Sans"/>
            <w:color w:val="0074B9"/>
            <w:kern w:val="0"/>
            <w:sz w:val="24"/>
            <w:szCs w:val="24"/>
            <w:lang w:eastAsia="de-DE"/>
            <w14:ligatures w14:val="none"/>
          </w:rPr>
          <w:t>Clin Nephrol 2005; 63:138.</w:t>
        </w:r>
      </w:hyperlink>
    </w:p>
    <w:p w14:paraId="6085F2A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4" w:history="1">
        <w:r w:rsidRPr="00E24D50">
          <w:rPr>
            <w:rFonts w:ascii="Noto Sans" w:eastAsia="Times New Roman" w:hAnsi="Noto Sans" w:cs="Noto Sans"/>
            <w:color w:val="0074B9"/>
            <w:kern w:val="0"/>
            <w:sz w:val="24"/>
            <w:szCs w:val="24"/>
            <w:lang w:val="en-GB" w:eastAsia="de-DE"/>
            <w14:ligatures w14:val="none"/>
          </w:rPr>
          <w:t xml:space="preserve">Altmann P, Barnett ME, Finn WF, SPD405-307 Lanthanum Carbonate Study Group. Cognitive function in Stage 5 chronic kidney disease patients on hemodialysis: no adverse effects of lanthanum carbonate compared with standard phosphate-binder therapy. </w:t>
        </w:r>
        <w:r w:rsidRPr="00E24D50">
          <w:rPr>
            <w:rFonts w:ascii="Noto Sans" w:eastAsia="Times New Roman" w:hAnsi="Noto Sans" w:cs="Noto Sans"/>
            <w:color w:val="0074B9"/>
            <w:kern w:val="0"/>
            <w:sz w:val="24"/>
            <w:szCs w:val="24"/>
            <w:lang w:eastAsia="de-DE"/>
            <w14:ligatures w14:val="none"/>
          </w:rPr>
          <w:t>Kidney Int 2007; 71:252.</w:t>
        </w:r>
      </w:hyperlink>
    </w:p>
    <w:p w14:paraId="0DBAA559"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5" w:history="1">
        <w:r w:rsidRPr="00E24D50">
          <w:rPr>
            <w:rFonts w:ascii="Noto Sans" w:eastAsia="Times New Roman" w:hAnsi="Noto Sans" w:cs="Noto Sans"/>
            <w:color w:val="0074B9"/>
            <w:kern w:val="0"/>
            <w:sz w:val="24"/>
            <w:szCs w:val="24"/>
            <w:lang w:eastAsia="de-DE"/>
            <w14:ligatures w14:val="none"/>
          </w:rPr>
          <w:t xml:space="preserve">Mehrotra R, Martin KJ, Fishbane S, et al. </w:t>
        </w:r>
        <w:r w:rsidRPr="00E24D50">
          <w:rPr>
            <w:rFonts w:ascii="Noto Sans" w:eastAsia="Times New Roman" w:hAnsi="Noto Sans" w:cs="Noto Sans"/>
            <w:color w:val="0074B9"/>
            <w:kern w:val="0"/>
            <w:sz w:val="24"/>
            <w:szCs w:val="24"/>
            <w:lang w:val="en-GB" w:eastAsia="de-DE"/>
            <w14:ligatures w14:val="none"/>
          </w:rPr>
          <w:t xml:space="preserve">Higher strength lanthanum carbonate provides serum phosphorus control with a low tablet burden and is preferred by patients and physicians: a multicenter study. </w:t>
        </w:r>
        <w:r w:rsidRPr="00E24D50">
          <w:rPr>
            <w:rFonts w:ascii="Noto Sans" w:eastAsia="Times New Roman" w:hAnsi="Noto Sans" w:cs="Noto Sans"/>
            <w:color w:val="0074B9"/>
            <w:kern w:val="0"/>
            <w:sz w:val="24"/>
            <w:szCs w:val="24"/>
            <w:lang w:eastAsia="de-DE"/>
            <w14:ligatures w14:val="none"/>
          </w:rPr>
          <w:t>Clin J Am Soc Nephrol 2008; 3:1437.</w:t>
        </w:r>
      </w:hyperlink>
    </w:p>
    <w:p w14:paraId="4C65EF0B"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6" w:history="1">
        <w:r w:rsidRPr="00E24D50">
          <w:rPr>
            <w:rFonts w:ascii="Noto Sans" w:eastAsia="Times New Roman" w:hAnsi="Noto Sans" w:cs="Noto Sans"/>
            <w:color w:val="0074B9"/>
            <w:kern w:val="0"/>
            <w:sz w:val="24"/>
            <w:szCs w:val="24"/>
            <w:lang w:val="en-GB" w:eastAsia="de-DE"/>
            <w14:ligatures w14:val="none"/>
          </w:rPr>
          <w:t xml:space="preserve">Wüthrich RP, Chonchol M, Covic A, et al. Randomized clinical trial of the iron-based phosphate binder PA21 in hemodialysis patients. </w:t>
        </w:r>
        <w:r w:rsidRPr="00E24D50">
          <w:rPr>
            <w:rFonts w:ascii="Noto Sans" w:eastAsia="Times New Roman" w:hAnsi="Noto Sans" w:cs="Noto Sans"/>
            <w:color w:val="0074B9"/>
            <w:kern w:val="0"/>
            <w:sz w:val="24"/>
            <w:szCs w:val="24"/>
            <w:lang w:eastAsia="de-DE"/>
            <w14:ligatures w14:val="none"/>
          </w:rPr>
          <w:t>Clin J Am Soc Nephrol 2013; 8:280.</w:t>
        </w:r>
      </w:hyperlink>
    </w:p>
    <w:p w14:paraId="7D905D2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7" w:history="1">
        <w:r w:rsidRPr="00E24D50">
          <w:rPr>
            <w:rFonts w:ascii="Noto Sans" w:eastAsia="Times New Roman" w:hAnsi="Noto Sans" w:cs="Noto Sans"/>
            <w:color w:val="0074B9"/>
            <w:kern w:val="0"/>
            <w:sz w:val="24"/>
            <w:szCs w:val="24"/>
            <w:lang w:eastAsia="de-DE"/>
            <w14:ligatures w14:val="none"/>
          </w:rPr>
          <w:t xml:space="preserve">Floege J, Covic AC, Ketteler M, et al. </w:t>
        </w:r>
        <w:r w:rsidRPr="00E24D50">
          <w:rPr>
            <w:rFonts w:ascii="Noto Sans" w:eastAsia="Times New Roman" w:hAnsi="Noto Sans" w:cs="Noto Sans"/>
            <w:color w:val="0074B9"/>
            <w:kern w:val="0"/>
            <w:sz w:val="24"/>
            <w:szCs w:val="24"/>
            <w:lang w:val="en-GB" w:eastAsia="de-DE"/>
            <w14:ligatures w14:val="none"/>
          </w:rPr>
          <w:t xml:space="preserve">A phase III study of the efficacy and safety of a novel iron-based phosphate binder in dialysis patients. </w:t>
        </w:r>
        <w:r w:rsidRPr="00E24D50">
          <w:rPr>
            <w:rFonts w:ascii="Noto Sans" w:eastAsia="Times New Roman" w:hAnsi="Noto Sans" w:cs="Noto Sans"/>
            <w:color w:val="0074B9"/>
            <w:kern w:val="0"/>
            <w:sz w:val="24"/>
            <w:szCs w:val="24"/>
            <w:lang w:eastAsia="de-DE"/>
            <w14:ligatures w14:val="none"/>
          </w:rPr>
          <w:t>Kidney Int 2014; 86:638.</w:t>
        </w:r>
      </w:hyperlink>
    </w:p>
    <w:p w14:paraId="26535B92"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8" w:history="1">
        <w:r w:rsidRPr="00E24D50">
          <w:rPr>
            <w:rFonts w:ascii="Noto Sans" w:eastAsia="Times New Roman" w:hAnsi="Noto Sans" w:cs="Noto Sans"/>
            <w:color w:val="0074B9"/>
            <w:kern w:val="0"/>
            <w:sz w:val="24"/>
            <w:szCs w:val="24"/>
            <w:lang w:val="en-GB" w:eastAsia="de-DE"/>
            <w14:ligatures w14:val="none"/>
          </w:rPr>
          <w:t xml:space="preserve">Locatelli F, Del Vecchio L. Iron-based phosphate binders: a paradigm shift in the treatment of hyperphosphatemic anemic CKD patients? </w:t>
        </w:r>
        <w:r w:rsidRPr="00E24D50">
          <w:rPr>
            <w:rFonts w:ascii="Noto Sans" w:eastAsia="Times New Roman" w:hAnsi="Noto Sans" w:cs="Noto Sans"/>
            <w:color w:val="0074B9"/>
            <w:kern w:val="0"/>
            <w:sz w:val="24"/>
            <w:szCs w:val="24"/>
            <w:lang w:eastAsia="de-DE"/>
            <w14:ligatures w14:val="none"/>
          </w:rPr>
          <w:t>J Nephrol 2017; 30:755.</w:t>
        </w:r>
      </w:hyperlink>
    </w:p>
    <w:p w14:paraId="66ECA9C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89" w:history="1">
        <w:r w:rsidRPr="00E24D50">
          <w:rPr>
            <w:rFonts w:ascii="Noto Sans" w:eastAsia="Times New Roman" w:hAnsi="Noto Sans" w:cs="Noto Sans"/>
            <w:color w:val="0074B9"/>
            <w:kern w:val="0"/>
            <w:sz w:val="24"/>
            <w:szCs w:val="24"/>
            <w:lang w:val="en-GB" w:eastAsia="de-DE"/>
            <w14:ligatures w14:val="none"/>
          </w:rPr>
          <w:t xml:space="preserve">Van Buren PN, Lewis JB, Dwyer JP, et al. The Phosphate Binder Ferric Citrate and Mineral Metabolism and Inflammatory Markers in Maintenance Dialysis Patients: Results From Prespecified Analyses of a Randomized Clinical Trial. </w:t>
        </w:r>
        <w:r w:rsidRPr="00E24D50">
          <w:rPr>
            <w:rFonts w:ascii="Noto Sans" w:eastAsia="Times New Roman" w:hAnsi="Noto Sans" w:cs="Noto Sans"/>
            <w:color w:val="0074B9"/>
            <w:kern w:val="0"/>
            <w:sz w:val="24"/>
            <w:szCs w:val="24"/>
            <w:lang w:eastAsia="de-DE"/>
            <w14:ligatures w14:val="none"/>
          </w:rPr>
          <w:t>Am J Kidney Dis 2015; 66:479.</w:t>
        </w:r>
      </w:hyperlink>
    </w:p>
    <w:p w14:paraId="203B45C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0" w:history="1">
        <w:r w:rsidRPr="00E24D50">
          <w:rPr>
            <w:rFonts w:ascii="Noto Sans" w:eastAsia="Times New Roman" w:hAnsi="Noto Sans" w:cs="Noto Sans"/>
            <w:color w:val="0074B9"/>
            <w:kern w:val="0"/>
            <w:sz w:val="24"/>
            <w:szCs w:val="24"/>
            <w:lang w:eastAsia="de-DE"/>
            <w14:ligatures w14:val="none"/>
          </w:rPr>
          <w:t xml:space="preserve">Müller D, Mehling H, Otto B, et al. </w:t>
        </w:r>
        <w:r w:rsidRPr="00E24D50">
          <w:rPr>
            <w:rFonts w:ascii="Noto Sans" w:eastAsia="Times New Roman" w:hAnsi="Noto Sans" w:cs="Noto Sans"/>
            <w:color w:val="0074B9"/>
            <w:kern w:val="0"/>
            <w:sz w:val="24"/>
            <w:szCs w:val="24"/>
            <w:lang w:val="en-GB" w:eastAsia="de-DE"/>
            <w14:ligatures w14:val="none"/>
          </w:rPr>
          <w:t xml:space="preserve">Niacin lowers serum phosphate and increases HDL cholesterol in dialysis patients. </w:t>
        </w:r>
        <w:r w:rsidRPr="00E24D50">
          <w:rPr>
            <w:rFonts w:ascii="Noto Sans" w:eastAsia="Times New Roman" w:hAnsi="Noto Sans" w:cs="Noto Sans"/>
            <w:color w:val="0074B9"/>
            <w:kern w:val="0"/>
            <w:sz w:val="24"/>
            <w:szCs w:val="24"/>
            <w:lang w:eastAsia="de-DE"/>
            <w14:ligatures w14:val="none"/>
          </w:rPr>
          <w:t>Clin J Am Soc Nephrol 2007; 2:1249.</w:t>
        </w:r>
      </w:hyperlink>
    </w:p>
    <w:p w14:paraId="1CF0225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1" w:history="1">
        <w:r w:rsidRPr="00E24D50">
          <w:rPr>
            <w:rFonts w:ascii="Noto Sans" w:eastAsia="Times New Roman" w:hAnsi="Noto Sans" w:cs="Noto Sans"/>
            <w:color w:val="0074B9"/>
            <w:kern w:val="0"/>
            <w:sz w:val="24"/>
            <w:szCs w:val="24"/>
            <w:lang w:val="en-GB" w:eastAsia="de-DE"/>
            <w14:ligatures w14:val="none"/>
          </w:rPr>
          <w:t xml:space="preserve">Cheng SC, Young DO, Huang Y, et al. A randomized, double-blind, placebo-controlled trial of niacinamide for reduction of phosphorus in hemodialysis patients. </w:t>
        </w:r>
        <w:r w:rsidRPr="00E24D50">
          <w:rPr>
            <w:rFonts w:ascii="Noto Sans" w:eastAsia="Times New Roman" w:hAnsi="Noto Sans" w:cs="Noto Sans"/>
            <w:color w:val="0074B9"/>
            <w:kern w:val="0"/>
            <w:sz w:val="24"/>
            <w:szCs w:val="24"/>
            <w:lang w:eastAsia="de-DE"/>
            <w14:ligatures w14:val="none"/>
          </w:rPr>
          <w:t>Clin J Am Soc Nephrol 2008; 3:1131.</w:t>
        </w:r>
      </w:hyperlink>
    </w:p>
    <w:p w14:paraId="4361DE3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2" w:history="1">
        <w:r w:rsidRPr="00E24D50">
          <w:rPr>
            <w:rFonts w:ascii="Noto Sans" w:eastAsia="Times New Roman" w:hAnsi="Noto Sans" w:cs="Noto Sans"/>
            <w:color w:val="0074B9"/>
            <w:kern w:val="0"/>
            <w:sz w:val="24"/>
            <w:szCs w:val="24"/>
            <w:lang w:val="en-GB" w:eastAsia="de-DE"/>
            <w14:ligatures w14:val="none"/>
          </w:rPr>
          <w:t xml:space="preserve">King AJ, Siegel M, He Y, et al. Inhibition of sodium/hydrogen exchanger 3 in the gastrointestinal tract by tenapanor reduces paracellular phosphate permeability. </w:t>
        </w:r>
        <w:r w:rsidRPr="00E24D50">
          <w:rPr>
            <w:rFonts w:ascii="Noto Sans" w:eastAsia="Times New Roman" w:hAnsi="Noto Sans" w:cs="Noto Sans"/>
            <w:color w:val="0074B9"/>
            <w:kern w:val="0"/>
            <w:sz w:val="24"/>
            <w:szCs w:val="24"/>
            <w:lang w:eastAsia="de-DE"/>
            <w14:ligatures w14:val="none"/>
          </w:rPr>
          <w:t>Sci Transl Med 2018; 10.</w:t>
        </w:r>
      </w:hyperlink>
    </w:p>
    <w:p w14:paraId="1C96947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3" w:history="1">
        <w:r w:rsidRPr="00E24D50">
          <w:rPr>
            <w:rFonts w:ascii="Noto Sans" w:eastAsia="Times New Roman" w:hAnsi="Noto Sans" w:cs="Noto Sans"/>
            <w:color w:val="0074B9"/>
            <w:kern w:val="0"/>
            <w:sz w:val="24"/>
            <w:szCs w:val="24"/>
            <w:lang w:val="en-GB" w:eastAsia="de-DE"/>
            <w14:ligatures w14:val="none"/>
          </w:rPr>
          <w:t xml:space="preserve">Navarrete JE, Ajiboye O, Lea JI. Biochemical markers of iron status and iron accumulation in peritoneal dialysis patients treated with ferric citrate. </w:t>
        </w:r>
        <w:r w:rsidRPr="00E24D50">
          <w:rPr>
            <w:rFonts w:ascii="Noto Sans" w:eastAsia="Times New Roman" w:hAnsi="Noto Sans" w:cs="Noto Sans"/>
            <w:color w:val="0074B9"/>
            <w:kern w:val="0"/>
            <w:sz w:val="24"/>
            <w:szCs w:val="24"/>
            <w:lang w:eastAsia="de-DE"/>
            <w14:ligatures w14:val="none"/>
          </w:rPr>
          <w:t>Perit Dial Int 2024; 44:133.</w:t>
        </w:r>
      </w:hyperlink>
    </w:p>
    <w:p w14:paraId="57CA3A59"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4" w:history="1">
        <w:r w:rsidRPr="00E24D50">
          <w:rPr>
            <w:rFonts w:ascii="Noto Sans" w:eastAsia="Times New Roman" w:hAnsi="Noto Sans" w:cs="Noto Sans"/>
            <w:color w:val="0074B9"/>
            <w:kern w:val="0"/>
            <w:sz w:val="24"/>
            <w:szCs w:val="24"/>
            <w:lang w:val="en-GB" w:eastAsia="de-DE"/>
            <w14:ligatures w14:val="none"/>
          </w:rPr>
          <w:t xml:space="preserve">Fournier A, Morinière P, Ben Hamida F, et al. Use of alkaline calcium salts as phosphate binder in uremic patients. </w:t>
        </w:r>
        <w:r w:rsidRPr="00E24D50">
          <w:rPr>
            <w:rFonts w:ascii="Noto Sans" w:eastAsia="Times New Roman" w:hAnsi="Noto Sans" w:cs="Noto Sans"/>
            <w:color w:val="0074B9"/>
            <w:kern w:val="0"/>
            <w:sz w:val="24"/>
            <w:szCs w:val="24"/>
            <w:lang w:eastAsia="de-DE"/>
            <w14:ligatures w14:val="none"/>
          </w:rPr>
          <w:t>Kidney Int Suppl 1992; 38:S50.</w:t>
        </w:r>
      </w:hyperlink>
    </w:p>
    <w:p w14:paraId="042D4D1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5" w:history="1">
        <w:r w:rsidRPr="00E24D50">
          <w:rPr>
            <w:rFonts w:ascii="Noto Sans" w:eastAsia="Times New Roman" w:hAnsi="Noto Sans" w:cs="Noto Sans"/>
            <w:color w:val="0074B9"/>
            <w:kern w:val="0"/>
            <w:sz w:val="24"/>
            <w:szCs w:val="24"/>
            <w:lang w:val="en-GB" w:eastAsia="de-DE"/>
            <w14:ligatures w14:val="none"/>
          </w:rPr>
          <w:t xml:space="preserve">Slatopolsky E, Weerts C, Lopez-Hilker S, et al. Calcium carbonate as a phosphate binder in patients with chronic renal failure undergoing dialysis. </w:t>
        </w:r>
        <w:r w:rsidRPr="00E24D50">
          <w:rPr>
            <w:rFonts w:ascii="Noto Sans" w:eastAsia="Times New Roman" w:hAnsi="Noto Sans" w:cs="Noto Sans"/>
            <w:color w:val="0074B9"/>
            <w:kern w:val="0"/>
            <w:sz w:val="24"/>
            <w:szCs w:val="24"/>
            <w:lang w:eastAsia="de-DE"/>
            <w14:ligatures w14:val="none"/>
          </w:rPr>
          <w:t>N Engl J Med 1986; 315:157.</w:t>
        </w:r>
      </w:hyperlink>
    </w:p>
    <w:p w14:paraId="58F410C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6" w:history="1">
        <w:r w:rsidRPr="00E24D50">
          <w:rPr>
            <w:rFonts w:ascii="Noto Sans" w:eastAsia="Times New Roman" w:hAnsi="Noto Sans" w:cs="Noto Sans"/>
            <w:color w:val="0074B9"/>
            <w:kern w:val="0"/>
            <w:sz w:val="24"/>
            <w:szCs w:val="24"/>
            <w:lang w:val="en-GB" w:eastAsia="de-DE"/>
            <w14:ligatures w14:val="none"/>
          </w:rPr>
          <w:t xml:space="preserve">Slatopolsky E, Weerts C, Norwood K, et al. Long-term effects of calcium carbonate and 2.5 mEq/liter calcium dialysate on mineral metabolism. </w:t>
        </w:r>
        <w:r w:rsidRPr="00E24D50">
          <w:rPr>
            <w:rFonts w:ascii="Noto Sans" w:eastAsia="Times New Roman" w:hAnsi="Noto Sans" w:cs="Noto Sans"/>
            <w:color w:val="0074B9"/>
            <w:kern w:val="0"/>
            <w:sz w:val="24"/>
            <w:szCs w:val="24"/>
            <w:lang w:eastAsia="de-DE"/>
            <w14:ligatures w14:val="none"/>
          </w:rPr>
          <w:t>Kidney Int 1989; 36:897.</w:t>
        </w:r>
      </w:hyperlink>
    </w:p>
    <w:p w14:paraId="2634617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7" w:history="1">
        <w:r w:rsidRPr="00E24D50">
          <w:rPr>
            <w:rFonts w:ascii="Noto Sans" w:eastAsia="Times New Roman" w:hAnsi="Noto Sans" w:cs="Noto Sans"/>
            <w:color w:val="0074B9"/>
            <w:kern w:val="0"/>
            <w:sz w:val="24"/>
            <w:szCs w:val="24"/>
            <w:lang w:eastAsia="de-DE"/>
            <w14:ligatures w14:val="none"/>
          </w:rPr>
          <w:t xml:space="preserve">Mai ML, Emmett M, Sheikh MS, et al. </w:t>
        </w:r>
        <w:r w:rsidRPr="00E24D50">
          <w:rPr>
            <w:rFonts w:ascii="Noto Sans" w:eastAsia="Times New Roman" w:hAnsi="Noto Sans" w:cs="Noto Sans"/>
            <w:color w:val="0074B9"/>
            <w:kern w:val="0"/>
            <w:sz w:val="24"/>
            <w:szCs w:val="24"/>
            <w:lang w:val="en-GB" w:eastAsia="de-DE"/>
            <w14:ligatures w14:val="none"/>
          </w:rPr>
          <w:t xml:space="preserve">Calcium acetate, an effective phosphorus binder in patients with renal failure. </w:t>
        </w:r>
        <w:r w:rsidRPr="00E24D50">
          <w:rPr>
            <w:rFonts w:ascii="Noto Sans" w:eastAsia="Times New Roman" w:hAnsi="Noto Sans" w:cs="Noto Sans"/>
            <w:color w:val="0074B9"/>
            <w:kern w:val="0"/>
            <w:sz w:val="24"/>
            <w:szCs w:val="24"/>
            <w:lang w:eastAsia="de-DE"/>
            <w14:ligatures w14:val="none"/>
          </w:rPr>
          <w:t>Kidney Int 1989; 36:690.</w:t>
        </w:r>
      </w:hyperlink>
    </w:p>
    <w:p w14:paraId="428BA410"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val="en-GB" w:eastAsia="de-DE"/>
          <w14:ligatures w14:val="none"/>
        </w:rPr>
      </w:pPr>
      <w:hyperlink r:id="rId98" w:history="1">
        <w:r w:rsidRPr="00E24D50">
          <w:rPr>
            <w:rFonts w:ascii="Noto Sans" w:eastAsia="Times New Roman" w:hAnsi="Noto Sans" w:cs="Noto Sans"/>
            <w:color w:val="0074B9"/>
            <w:kern w:val="0"/>
            <w:sz w:val="24"/>
            <w:szCs w:val="24"/>
            <w:lang w:eastAsia="de-DE"/>
            <w14:ligatures w14:val="none"/>
          </w:rPr>
          <w:t xml:space="preserve">Delmez JA, Tindira CA, Windus DW, et al. </w:t>
        </w:r>
        <w:r w:rsidRPr="00E24D50">
          <w:rPr>
            <w:rFonts w:ascii="Noto Sans" w:eastAsia="Times New Roman" w:hAnsi="Noto Sans" w:cs="Noto Sans"/>
            <w:color w:val="0074B9"/>
            <w:kern w:val="0"/>
            <w:sz w:val="24"/>
            <w:szCs w:val="24"/>
            <w:lang w:val="en-GB" w:eastAsia="de-DE"/>
            <w14:ligatures w14:val="none"/>
          </w:rPr>
          <w:t>Calcium acetate as a phosphorus binder in hemodialysis patients. J Am Soc Nephrol 1992; 3:96.</w:t>
        </w:r>
      </w:hyperlink>
    </w:p>
    <w:p w14:paraId="0221DC7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99" w:history="1">
        <w:r w:rsidRPr="00E24D50">
          <w:rPr>
            <w:rFonts w:ascii="Noto Sans" w:eastAsia="Times New Roman" w:hAnsi="Noto Sans" w:cs="Noto Sans"/>
            <w:color w:val="0074B9"/>
            <w:kern w:val="0"/>
            <w:sz w:val="24"/>
            <w:szCs w:val="24"/>
            <w:lang w:val="en-GB" w:eastAsia="de-DE"/>
            <w14:ligatures w14:val="none"/>
          </w:rPr>
          <w:t xml:space="preserve">Morinière P, Djerad M, Boudailliez B, et al. Control of predialytic hyperphosphatemia by oral calcium acetate and calcium carbonate. Comparable efficacy for half the dose of elemental calcium given as acetate without lower incidence of hypercalcemia. </w:t>
        </w:r>
        <w:r w:rsidRPr="00E24D50">
          <w:rPr>
            <w:rFonts w:ascii="Noto Sans" w:eastAsia="Times New Roman" w:hAnsi="Noto Sans" w:cs="Noto Sans"/>
            <w:color w:val="0074B9"/>
            <w:kern w:val="0"/>
            <w:sz w:val="24"/>
            <w:szCs w:val="24"/>
            <w:lang w:eastAsia="de-DE"/>
            <w14:ligatures w14:val="none"/>
          </w:rPr>
          <w:t>Nephron 1992; 60:6.</w:t>
        </w:r>
      </w:hyperlink>
    </w:p>
    <w:p w14:paraId="6814B01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0" w:history="1">
        <w:r w:rsidRPr="00E24D50">
          <w:rPr>
            <w:rFonts w:ascii="Noto Sans" w:eastAsia="Times New Roman" w:hAnsi="Noto Sans" w:cs="Noto Sans"/>
            <w:color w:val="0074B9"/>
            <w:kern w:val="0"/>
            <w:sz w:val="24"/>
            <w:szCs w:val="24"/>
            <w:lang w:val="en-GB" w:eastAsia="de-DE"/>
            <w14:ligatures w14:val="none"/>
          </w:rPr>
          <w:t xml:space="preserve">Meric F, Yap P, Bia MJ. Etiology of hypercalcemia in hemodialysis patients on calcium carbonate therapy. </w:t>
        </w:r>
        <w:r w:rsidRPr="00E24D50">
          <w:rPr>
            <w:rFonts w:ascii="Noto Sans" w:eastAsia="Times New Roman" w:hAnsi="Noto Sans" w:cs="Noto Sans"/>
            <w:color w:val="0074B9"/>
            <w:kern w:val="0"/>
            <w:sz w:val="24"/>
            <w:szCs w:val="24"/>
            <w:lang w:eastAsia="de-DE"/>
            <w14:ligatures w14:val="none"/>
          </w:rPr>
          <w:t>Am J Kidney Dis 1990; 16:459.</w:t>
        </w:r>
      </w:hyperlink>
    </w:p>
    <w:p w14:paraId="7CB3D518"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1" w:history="1">
        <w:r w:rsidRPr="00E24D50">
          <w:rPr>
            <w:rFonts w:ascii="Noto Sans" w:eastAsia="Times New Roman" w:hAnsi="Noto Sans" w:cs="Noto Sans"/>
            <w:color w:val="0074B9"/>
            <w:kern w:val="0"/>
            <w:sz w:val="24"/>
            <w:szCs w:val="24"/>
            <w:lang w:eastAsia="de-DE"/>
            <w14:ligatures w14:val="none"/>
          </w:rPr>
          <w:t xml:space="preserve">Kurz P, Monier-Faugere MC, Bognar B, et al. </w:t>
        </w:r>
        <w:r w:rsidRPr="00E24D50">
          <w:rPr>
            <w:rFonts w:ascii="Noto Sans" w:eastAsia="Times New Roman" w:hAnsi="Noto Sans" w:cs="Noto Sans"/>
            <w:color w:val="0074B9"/>
            <w:kern w:val="0"/>
            <w:sz w:val="24"/>
            <w:szCs w:val="24"/>
            <w:lang w:val="en-GB" w:eastAsia="de-DE"/>
            <w14:ligatures w14:val="none"/>
          </w:rPr>
          <w:t xml:space="preserve">Evidence for abnormal calcium homeostasis in patients with adynamic bone disease. </w:t>
        </w:r>
        <w:r w:rsidRPr="00E24D50">
          <w:rPr>
            <w:rFonts w:ascii="Noto Sans" w:eastAsia="Times New Roman" w:hAnsi="Noto Sans" w:cs="Noto Sans"/>
            <w:color w:val="0074B9"/>
            <w:kern w:val="0"/>
            <w:sz w:val="24"/>
            <w:szCs w:val="24"/>
            <w:lang w:eastAsia="de-DE"/>
            <w14:ligatures w14:val="none"/>
          </w:rPr>
          <w:t>Kidney Int 1994; 46:855.</w:t>
        </w:r>
      </w:hyperlink>
    </w:p>
    <w:p w14:paraId="1A02E4CB"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2" w:history="1">
        <w:r w:rsidRPr="00E24D50">
          <w:rPr>
            <w:rFonts w:ascii="Noto Sans" w:eastAsia="Times New Roman" w:hAnsi="Noto Sans" w:cs="Noto Sans"/>
            <w:color w:val="0074B9"/>
            <w:kern w:val="0"/>
            <w:sz w:val="24"/>
            <w:szCs w:val="24"/>
            <w:lang w:val="en-GB" w:eastAsia="de-DE"/>
            <w14:ligatures w14:val="none"/>
          </w:rPr>
          <w:t xml:space="preserve">Goodman WG, Goldin J, Kuizon BD, et al. Coronary-artery calcification in young adults with end-stage renal disease who are undergoing dialysis. </w:t>
        </w:r>
        <w:r w:rsidRPr="00E24D50">
          <w:rPr>
            <w:rFonts w:ascii="Noto Sans" w:eastAsia="Times New Roman" w:hAnsi="Noto Sans" w:cs="Noto Sans"/>
            <w:color w:val="0074B9"/>
            <w:kern w:val="0"/>
            <w:sz w:val="24"/>
            <w:szCs w:val="24"/>
            <w:lang w:eastAsia="de-DE"/>
            <w14:ligatures w14:val="none"/>
          </w:rPr>
          <w:t>N Engl J Med 2000; 342:1478.</w:t>
        </w:r>
      </w:hyperlink>
    </w:p>
    <w:p w14:paraId="7C1008F3"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3" w:history="1">
        <w:r w:rsidRPr="00E24D50">
          <w:rPr>
            <w:rFonts w:ascii="Noto Sans" w:eastAsia="Times New Roman" w:hAnsi="Noto Sans" w:cs="Noto Sans"/>
            <w:color w:val="0074B9"/>
            <w:kern w:val="0"/>
            <w:sz w:val="24"/>
            <w:szCs w:val="24"/>
            <w:lang w:val="en-GB" w:eastAsia="de-DE"/>
            <w14:ligatures w14:val="none"/>
          </w:rPr>
          <w:t xml:space="preserve">Block GA, Port FK. Re-evaluation of risks associated with hyperphosphatemia and hyperparathyroidism in dialysis patients: recommendations for a change in management. </w:t>
        </w:r>
        <w:r w:rsidRPr="00E24D50">
          <w:rPr>
            <w:rFonts w:ascii="Noto Sans" w:eastAsia="Times New Roman" w:hAnsi="Noto Sans" w:cs="Noto Sans"/>
            <w:color w:val="0074B9"/>
            <w:kern w:val="0"/>
            <w:sz w:val="24"/>
            <w:szCs w:val="24"/>
            <w:lang w:eastAsia="de-DE"/>
            <w14:ligatures w14:val="none"/>
          </w:rPr>
          <w:t>Am J Kidney Dis 2000; 35:1226.</w:t>
        </w:r>
      </w:hyperlink>
    </w:p>
    <w:p w14:paraId="0E343DE1"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4" w:history="1">
        <w:r w:rsidRPr="00E24D50">
          <w:rPr>
            <w:rFonts w:ascii="Noto Sans" w:eastAsia="Times New Roman" w:hAnsi="Noto Sans" w:cs="Noto Sans"/>
            <w:color w:val="0074B9"/>
            <w:kern w:val="0"/>
            <w:sz w:val="24"/>
            <w:szCs w:val="24"/>
            <w:lang w:val="en-GB" w:eastAsia="de-DE"/>
            <w14:ligatures w14:val="none"/>
          </w:rPr>
          <w:t xml:space="preserve">Reynolds JL, Joannides AJ, Skepper JN, et al. Human vascular smooth muscle cells undergo vesicle-mediated calcification in response to changes in extracellular calcium and phosphate concentrations: a </w:t>
        </w:r>
        <w:r w:rsidRPr="00E24D50">
          <w:rPr>
            <w:rFonts w:ascii="Noto Sans" w:eastAsia="Times New Roman" w:hAnsi="Noto Sans" w:cs="Noto Sans"/>
            <w:color w:val="0074B9"/>
            <w:kern w:val="0"/>
            <w:sz w:val="24"/>
            <w:szCs w:val="24"/>
            <w:lang w:val="en-GB" w:eastAsia="de-DE"/>
            <w14:ligatures w14:val="none"/>
          </w:rPr>
          <w:lastRenderedPageBreak/>
          <w:t xml:space="preserve">potential mechanism for accelerated vascular calcification in ESRD. </w:t>
        </w:r>
        <w:r w:rsidRPr="00E24D50">
          <w:rPr>
            <w:rFonts w:ascii="Noto Sans" w:eastAsia="Times New Roman" w:hAnsi="Noto Sans" w:cs="Noto Sans"/>
            <w:color w:val="0074B9"/>
            <w:kern w:val="0"/>
            <w:sz w:val="24"/>
            <w:szCs w:val="24"/>
            <w:lang w:eastAsia="de-DE"/>
            <w14:ligatures w14:val="none"/>
          </w:rPr>
          <w:t>J Am Soc Nephrol 2004; 15:2857.</w:t>
        </w:r>
      </w:hyperlink>
    </w:p>
    <w:p w14:paraId="05368DE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5" w:history="1">
        <w:r w:rsidRPr="00E24D50">
          <w:rPr>
            <w:rFonts w:ascii="Noto Sans" w:eastAsia="Times New Roman" w:hAnsi="Noto Sans" w:cs="Noto Sans"/>
            <w:color w:val="0074B9"/>
            <w:kern w:val="0"/>
            <w:sz w:val="24"/>
            <w:szCs w:val="24"/>
            <w:lang w:val="en-GB" w:eastAsia="de-DE"/>
            <w14:ligatures w14:val="none"/>
          </w:rPr>
          <w:t xml:space="preserve">Ewence AE, Bootman M, Roderick HL, et al. Calcium phosphate crystals induce cell death in human vascular smooth muscle cells: a potential mechanism in atherosclerotic plaque destabilization. </w:t>
        </w:r>
        <w:r w:rsidRPr="00E24D50">
          <w:rPr>
            <w:rFonts w:ascii="Noto Sans" w:eastAsia="Times New Roman" w:hAnsi="Noto Sans" w:cs="Noto Sans"/>
            <w:color w:val="0074B9"/>
            <w:kern w:val="0"/>
            <w:sz w:val="24"/>
            <w:szCs w:val="24"/>
            <w:lang w:eastAsia="de-DE"/>
            <w14:ligatures w14:val="none"/>
          </w:rPr>
          <w:t>Circ Res 2008; 103:e28.</w:t>
        </w:r>
      </w:hyperlink>
    </w:p>
    <w:p w14:paraId="18EF5E8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6" w:history="1">
        <w:r w:rsidRPr="00E24D50">
          <w:rPr>
            <w:rFonts w:ascii="Noto Sans" w:eastAsia="Times New Roman" w:hAnsi="Noto Sans" w:cs="Noto Sans"/>
            <w:color w:val="0074B9"/>
            <w:kern w:val="0"/>
            <w:sz w:val="24"/>
            <w:szCs w:val="24"/>
            <w:lang w:val="en-GB" w:eastAsia="de-DE"/>
            <w14:ligatures w14:val="none"/>
          </w:rPr>
          <w:t xml:space="preserve">Molony DA, Parameswaran V, Ficociello LH, et al. Sucroferric Oxyhydroxide as Part of Combination Phosphate Binder Therapy among Hemodialysis Patients. </w:t>
        </w:r>
        <w:r w:rsidRPr="00E24D50">
          <w:rPr>
            <w:rFonts w:ascii="Noto Sans" w:eastAsia="Times New Roman" w:hAnsi="Noto Sans" w:cs="Noto Sans"/>
            <w:color w:val="0074B9"/>
            <w:kern w:val="0"/>
            <w:sz w:val="24"/>
            <w:szCs w:val="24"/>
            <w:lang w:eastAsia="de-DE"/>
            <w14:ligatures w14:val="none"/>
          </w:rPr>
          <w:t>Kidney360 2020; 1:263.</w:t>
        </w:r>
      </w:hyperlink>
    </w:p>
    <w:p w14:paraId="3209C83E"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7" w:history="1">
        <w:r w:rsidRPr="00E24D50">
          <w:rPr>
            <w:rFonts w:ascii="Noto Sans" w:eastAsia="Times New Roman" w:hAnsi="Noto Sans" w:cs="Noto Sans"/>
            <w:color w:val="0074B9"/>
            <w:kern w:val="0"/>
            <w:sz w:val="24"/>
            <w:szCs w:val="24"/>
            <w:lang w:val="en-GB" w:eastAsia="de-DE"/>
            <w14:ligatures w14:val="none"/>
          </w:rPr>
          <w:t xml:space="preserve">Ix JH, Isakova T, Larive B, et al. Effects of Nicotinamide and Lanthanum Carbonate on Serum Phosphate and Fibroblast Growth Factor-23 in CKD: The COMBINE Trial. </w:t>
        </w:r>
        <w:r w:rsidRPr="00E24D50">
          <w:rPr>
            <w:rFonts w:ascii="Noto Sans" w:eastAsia="Times New Roman" w:hAnsi="Noto Sans" w:cs="Noto Sans"/>
            <w:color w:val="0074B9"/>
            <w:kern w:val="0"/>
            <w:sz w:val="24"/>
            <w:szCs w:val="24"/>
            <w:lang w:eastAsia="de-DE"/>
            <w14:ligatures w14:val="none"/>
          </w:rPr>
          <w:t>J Am Soc Nephrol 2019; 30:1096.</w:t>
        </w:r>
      </w:hyperlink>
    </w:p>
    <w:p w14:paraId="3C53C7A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8" w:history="1">
        <w:r w:rsidRPr="00E24D50">
          <w:rPr>
            <w:rFonts w:ascii="Noto Sans" w:eastAsia="Times New Roman" w:hAnsi="Noto Sans" w:cs="Noto Sans"/>
            <w:color w:val="0074B9"/>
            <w:kern w:val="0"/>
            <w:sz w:val="24"/>
            <w:szCs w:val="24"/>
            <w:lang w:eastAsia="de-DE"/>
            <w14:ligatures w14:val="none"/>
          </w:rPr>
          <w:t xml:space="preserve">Ketteler M, Wiecek A, Rosenkranz AR, et al. </w:t>
        </w:r>
        <w:r w:rsidRPr="00E24D50">
          <w:rPr>
            <w:rFonts w:ascii="Noto Sans" w:eastAsia="Times New Roman" w:hAnsi="Noto Sans" w:cs="Noto Sans"/>
            <w:color w:val="0074B9"/>
            <w:kern w:val="0"/>
            <w:sz w:val="24"/>
            <w:szCs w:val="24"/>
            <w:lang w:val="en-GB" w:eastAsia="de-DE"/>
            <w14:ligatures w14:val="none"/>
          </w:rPr>
          <w:t xml:space="preserve">Modified-release nicotinamide for the treatment of hyperphosphataemia in haemodialysis patients: 52-week efficacy and safety results of the phase 3 randomized controlled NOPHOS trial. </w:t>
        </w:r>
        <w:r w:rsidRPr="00E24D50">
          <w:rPr>
            <w:rFonts w:ascii="Noto Sans" w:eastAsia="Times New Roman" w:hAnsi="Noto Sans" w:cs="Noto Sans"/>
            <w:color w:val="0074B9"/>
            <w:kern w:val="0"/>
            <w:sz w:val="24"/>
            <w:szCs w:val="24"/>
            <w:lang w:eastAsia="de-DE"/>
            <w14:ligatures w14:val="none"/>
          </w:rPr>
          <w:t>Nephrol Dial Transplant 2023; 38:982.</w:t>
        </w:r>
      </w:hyperlink>
    </w:p>
    <w:p w14:paraId="751EC59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09" w:history="1">
        <w:r w:rsidRPr="00E24D50">
          <w:rPr>
            <w:rFonts w:ascii="Noto Sans" w:eastAsia="Times New Roman" w:hAnsi="Noto Sans" w:cs="Noto Sans"/>
            <w:color w:val="0074B9"/>
            <w:kern w:val="0"/>
            <w:sz w:val="24"/>
            <w:szCs w:val="24"/>
            <w:lang w:val="en-GB" w:eastAsia="de-DE"/>
            <w14:ligatures w14:val="none"/>
          </w:rPr>
          <w:t xml:space="preserve">Molitoris BA, Froment DH, Mackenzie TA, et al. Citrate: a major factor in the toxicity of orally administered aluminum compounds. </w:t>
        </w:r>
        <w:r w:rsidRPr="00E24D50">
          <w:rPr>
            <w:rFonts w:ascii="Noto Sans" w:eastAsia="Times New Roman" w:hAnsi="Noto Sans" w:cs="Noto Sans"/>
            <w:color w:val="0074B9"/>
            <w:kern w:val="0"/>
            <w:sz w:val="24"/>
            <w:szCs w:val="24"/>
            <w:lang w:eastAsia="de-DE"/>
            <w14:ligatures w14:val="none"/>
          </w:rPr>
          <w:t>Kidney Int 1989; 36:949.</w:t>
        </w:r>
      </w:hyperlink>
    </w:p>
    <w:p w14:paraId="388F9BC8"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0" w:history="1">
        <w:r w:rsidRPr="00E24D50">
          <w:rPr>
            <w:rFonts w:ascii="Noto Sans" w:eastAsia="Times New Roman" w:hAnsi="Noto Sans" w:cs="Noto Sans"/>
            <w:color w:val="0074B9"/>
            <w:kern w:val="0"/>
            <w:sz w:val="24"/>
            <w:szCs w:val="24"/>
            <w:lang w:val="en-GB" w:eastAsia="de-DE"/>
            <w14:ligatures w14:val="none"/>
          </w:rPr>
          <w:t xml:space="preserve">Nolan CR, Califano JR, Butzin CA. Influence of calcium acetate or calcium citrate on intestinal aluminum absorption. </w:t>
        </w:r>
        <w:r w:rsidRPr="00E24D50">
          <w:rPr>
            <w:rFonts w:ascii="Noto Sans" w:eastAsia="Times New Roman" w:hAnsi="Noto Sans" w:cs="Noto Sans"/>
            <w:color w:val="0074B9"/>
            <w:kern w:val="0"/>
            <w:sz w:val="24"/>
            <w:szCs w:val="24"/>
            <w:lang w:eastAsia="de-DE"/>
            <w14:ligatures w14:val="none"/>
          </w:rPr>
          <w:t>Kidney Int 1990; 38:937.</w:t>
        </w:r>
      </w:hyperlink>
    </w:p>
    <w:p w14:paraId="785824CA"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1" w:history="1">
        <w:r w:rsidRPr="00E24D50">
          <w:rPr>
            <w:rFonts w:ascii="Noto Sans" w:eastAsia="Times New Roman" w:hAnsi="Noto Sans" w:cs="Noto Sans"/>
            <w:color w:val="0074B9"/>
            <w:kern w:val="0"/>
            <w:sz w:val="24"/>
            <w:szCs w:val="24"/>
            <w:lang w:val="en-GB" w:eastAsia="de-DE"/>
            <w14:ligatures w14:val="none"/>
          </w:rPr>
          <w:t xml:space="preserve">Kirschbaum BB, Schoolwerth AC. Acute Aluminum Toxicity Associated With Oral Citrate and Aluminum-Containing Antacids. </w:t>
        </w:r>
        <w:r w:rsidRPr="00E24D50">
          <w:rPr>
            <w:rFonts w:ascii="Noto Sans" w:eastAsia="Times New Roman" w:hAnsi="Noto Sans" w:cs="Noto Sans"/>
            <w:color w:val="0074B9"/>
            <w:kern w:val="0"/>
            <w:sz w:val="24"/>
            <w:szCs w:val="24"/>
            <w:lang w:eastAsia="de-DE"/>
            <w14:ligatures w14:val="none"/>
          </w:rPr>
          <w:t>Am J Med Sci 1989; 297:9.</w:t>
        </w:r>
      </w:hyperlink>
    </w:p>
    <w:p w14:paraId="6888511E"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2" w:history="1">
        <w:r w:rsidRPr="00E24D50">
          <w:rPr>
            <w:rFonts w:ascii="Noto Sans" w:eastAsia="Times New Roman" w:hAnsi="Noto Sans" w:cs="Noto Sans"/>
            <w:color w:val="0074B9"/>
            <w:kern w:val="0"/>
            <w:sz w:val="24"/>
            <w:szCs w:val="24"/>
            <w:lang w:val="en-GB" w:eastAsia="de-DE"/>
            <w14:ligatures w14:val="none"/>
          </w:rPr>
          <w:t xml:space="preserve">Spiegel DM, Farmer B, Smits G, Chonchol M. Magnesium carbonate is an effective phosphate binder for chronic hemodialysis patients: a pilot study. </w:t>
        </w:r>
        <w:r w:rsidRPr="00E24D50">
          <w:rPr>
            <w:rFonts w:ascii="Noto Sans" w:eastAsia="Times New Roman" w:hAnsi="Noto Sans" w:cs="Noto Sans"/>
            <w:color w:val="0074B9"/>
            <w:kern w:val="0"/>
            <w:sz w:val="24"/>
            <w:szCs w:val="24"/>
            <w:lang w:eastAsia="de-DE"/>
            <w14:ligatures w14:val="none"/>
          </w:rPr>
          <w:t>J Ren Nutr 2007; 17:416.</w:t>
        </w:r>
      </w:hyperlink>
    </w:p>
    <w:p w14:paraId="509CCFE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val="en-GB" w:eastAsia="de-DE"/>
          <w14:ligatures w14:val="none"/>
        </w:rPr>
      </w:pPr>
      <w:hyperlink r:id="rId113" w:history="1">
        <w:r w:rsidRPr="00E24D50">
          <w:rPr>
            <w:rFonts w:ascii="Noto Sans" w:eastAsia="Times New Roman" w:hAnsi="Noto Sans" w:cs="Noto Sans"/>
            <w:color w:val="0074B9"/>
            <w:kern w:val="0"/>
            <w:sz w:val="24"/>
            <w:szCs w:val="24"/>
            <w:lang w:val="en-GB" w:eastAsia="de-DE"/>
            <w14:ligatures w14:val="none"/>
          </w:rPr>
          <w:t>Chue CD, Townend JN, Moody WE, et al. Cardiovascular effects of sevelamer in stage 3 CKD. J Am Soc Nephrol 2013; 24:842.</w:t>
        </w:r>
      </w:hyperlink>
    </w:p>
    <w:p w14:paraId="2AE1A3BF"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4" w:history="1">
        <w:r w:rsidRPr="00E24D50">
          <w:rPr>
            <w:rFonts w:ascii="Noto Sans" w:eastAsia="Times New Roman" w:hAnsi="Noto Sans" w:cs="Noto Sans"/>
            <w:color w:val="0074B9"/>
            <w:kern w:val="0"/>
            <w:sz w:val="24"/>
            <w:szCs w:val="24"/>
            <w:lang w:val="en-GB" w:eastAsia="de-DE"/>
            <w14:ligatures w14:val="none"/>
          </w:rPr>
          <w:t xml:space="preserve">Kovesdy CP, Kuchmak O, Lu JL, Kalantar-Zadeh K. Outcomes associated with phosphorus binders in men with non-dialysis-dependent CKD. </w:t>
        </w:r>
        <w:r w:rsidRPr="00E24D50">
          <w:rPr>
            <w:rFonts w:ascii="Noto Sans" w:eastAsia="Times New Roman" w:hAnsi="Noto Sans" w:cs="Noto Sans"/>
            <w:color w:val="0074B9"/>
            <w:kern w:val="0"/>
            <w:sz w:val="24"/>
            <w:szCs w:val="24"/>
            <w:lang w:eastAsia="de-DE"/>
            <w14:ligatures w14:val="none"/>
          </w:rPr>
          <w:t>Am J Kidney Dis 2010; 56:842.</w:t>
        </w:r>
      </w:hyperlink>
    </w:p>
    <w:p w14:paraId="2D539866"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5" w:history="1">
        <w:r w:rsidRPr="00E24D50">
          <w:rPr>
            <w:rFonts w:ascii="Noto Sans" w:eastAsia="Times New Roman" w:hAnsi="Noto Sans" w:cs="Noto Sans"/>
            <w:color w:val="0074B9"/>
            <w:kern w:val="0"/>
            <w:sz w:val="24"/>
            <w:szCs w:val="24"/>
            <w:lang w:val="en-GB" w:eastAsia="de-DE"/>
            <w14:ligatures w14:val="none"/>
          </w:rPr>
          <w:t xml:space="preserve">Toussaint ND, Pedagogos E, Lioufas NM, et al. A Randomized Trial on the Effect of Phosphate Reduction on Vascular End Points in CKD (IMPROVE-CKD). </w:t>
        </w:r>
        <w:r w:rsidRPr="00E24D50">
          <w:rPr>
            <w:rFonts w:ascii="Noto Sans" w:eastAsia="Times New Roman" w:hAnsi="Noto Sans" w:cs="Noto Sans"/>
            <w:color w:val="0074B9"/>
            <w:kern w:val="0"/>
            <w:sz w:val="24"/>
            <w:szCs w:val="24"/>
            <w:lang w:eastAsia="de-DE"/>
            <w14:ligatures w14:val="none"/>
          </w:rPr>
          <w:t>J Am Soc Nephrol 2020; 31:2653.</w:t>
        </w:r>
      </w:hyperlink>
    </w:p>
    <w:p w14:paraId="7B0A5BDD"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val="en-GB" w:eastAsia="de-DE"/>
          <w14:ligatures w14:val="none"/>
        </w:rPr>
      </w:pPr>
      <w:hyperlink r:id="rId116" w:history="1">
        <w:r w:rsidRPr="00E24D50">
          <w:rPr>
            <w:rFonts w:ascii="Noto Sans" w:eastAsia="Times New Roman" w:hAnsi="Noto Sans" w:cs="Noto Sans"/>
            <w:color w:val="0074B9"/>
            <w:kern w:val="0"/>
            <w:sz w:val="24"/>
            <w:szCs w:val="24"/>
            <w:lang w:eastAsia="de-DE"/>
            <w14:ligatures w14:val="none"/>
          </w:rPr>
          <w:t xml:space="preserve">Isakova T, Gutiérrez OM, Chang Y, et al. </w:t>
        </w:r>
        <w:r w:rsidRPr="00E24D50">
          <w:rPr>
            <w:rFonts w:ascii="Noto Sans" w:eastAsia="Times New Roman" w:hAnsi="Noto Sans" w:cs="Noto Sans"/>
            <w:color w:val="0074B9"/>
            <w:kern w:val="0"/>
            <w:sz w:val="24"/>
            <w:szCs w:val="24"/>
            <w:lang w:val="en-GB" w:eastAsia="de-DE"/>
            <w14:ligatures w14:val="none"/>
          </w:rPr>
          <w:t>Phosphorus binders and survival on hemodialysis. J Am Soc Nephrol 2009; 20:388.</w:t>
        </w:r>
      </w:hyperlink>
    </w:p>
    <w:p w14:paraId="5773332E"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7" w:history="1">
        <w:r w:rsidRPr="00E24D50">
          <w:rPr>
            <w:rFonts w:ascii="Noto Sans" w:eastAsia="Times New Roman" w:hAnsi="Noto Sans" w:cs="Noto Sans"/>
            <w:color w:val="0074B9"/>
            <w:kern w:val="0"/>
            <w:sz w:val="24"/>
            <w:szCs w:val="24"/>
            <w:lang w:val="en-GB" w:eastAsia="de-DE"/>
            <w14:ligatures w14:val="none"/>
          </w:rPr>
          <w:t xml:space="preserve">Cannata-Andía JB, Fernández-Martín JL, Locatelli F, et al. Use of phosphate-binding agents is associated with a lower risk of mortality. </w:t>
        </w:r>
        <w:r w:rsidRPr="00E24D50">
          <w:rPr>
            <w:rFonts w:ascii="Noto Sans" w:eastAsia="Times New Roman" w:hAnsi="Noto Sans" w:cs="Noto Sans"/>
            <w:color w:val="0074B9"/>
            <w:kern w:val="0"/>
            <w:sz w:val="24"/>
            <w:szCs w:val="24"/>
            <w:lang w:eastAsia="de-DE"/>
            <w14:ligatures w14:val="none"/>
          </w:rPr>
          <w:t>Kidney Int 2013; 84:998.</w:t>
        </w:r>
      </w:hyperlink>
    </w:p>
    <w:p w14:paraId="797F5C53"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8" w:history="1">
        <w:r w:rsidRPr="00E24D50">
          <w:rPr>
            <w:rFonts w:ascii="Noto Sans" w:eastAsia="Times New Roman" w:hAnsi="Noto Sans" w:cs="Noto Sans"/>
            <w:color w:val="0074B9"/>
            <w:kern w:val="0"/>
            <w:sz w:val="24"/>
            <w:szCs w:val="24"/>
            <w:lang w:eastAsia="de-DE"/>
            <w14:ligatures w14:val="none"/>
          </w:rPr>
          <w:t xml:space="preserve">Streja E, Lau WL, Goldstein L, et al. </w:t>
        </w:r>
        <w:r w:rsidRPr="00E24D50">
          <w:rPr>
            <w:rFonts w:ascii="Noto Sans" w:eastAsia="Times New Roman" w:hAnsi="Noto Sans" w:cs="Noto Sans"/>
            <w:color w:val="0074B9"/>
            <w:kern w:val="0"/>
            <w:sz w:val="24"/>
            <w:szCs w:val="24"/>
            <w:lang w:val="en-GB" w:eastAsia="de-DE"/>
            <w14:ligatures w14:val="none"/>
          </w:rPr>
          <w:t xml:space="preserve">Hyperphosphatemia is a combined function of high serum PTH and high dietary protein intake in dialysis patients. </w:t>
        </w:r>
        <w:r w:rsidRPr="00E24D50">
          <w:rPr>
            <w:rFonts w:ascii="Noto Sans" w:eastAsia="Times New Roman" w:hAnsi="Noto Sans" w:cs="Noto Sans"/>
            <w:color w:val="0074B9"/>
            <w:kern w:val="0"/>
            <w:sz w:val="24"/>
            <w:szCs w:val="24"/>
            <w:lang w:eastAsia="de-DE"/>
            <w14:ligatures w14:val="none"/>
          </w:rPr>
          <w:t>Kidney Int Suppl (2011) 2013; 3:462.</w:t>
        </w:r>
      </w:hyperlink>
    </w:p>
    <w:p w14:paraId="2605DC95"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19" w:history="1">
        <w:r w:rsidRPr="00E24D50">
          <w:rPr>
            <w:rFonts w:ascii="Noto Sans" w:eastAsia="Times New Roman" w:hAnsi="Noto Sans" w:cs="Noto Sans"/>
            <w:color w:val="0074B9"/>
            <w:kern w:val="0"/>
            <w:sz w:val="24"/>
            <w:szCs w:val="24"/>
            <w:lang w:val="en-GB" w:eastAsia="de-DE"/>
            <w14:ligatures w14:val="none"/>
          </w:rPr>
          <w:t xml:space="preserve">Luo H, Feng J, Zhang Y, et al. Efficacy and safety of tenapanor in hemodialysis patients with hyperphosphatemia: A systematic review and meta-analysis of randomized placebo-controlled trials. </w:t>
        </w:r>
        <w:r w:rsidRPr="00E24D50">
          <w:rPr>
            <w:rFonts w:ascii="Noto Sans" w:eastAsia="Times New Roman" w:hAnsi="Noto Sans" w:cs="Noto Sans"/>
            <w:color w:val="0074B9"/>
            <w:kern w:val="0"/>
            <w:sz w:val="24"/>
            <w:szCs w:val="24"/>
            <w:lang w:eastAsia="de-DE"/>
            <w14:ligatures w14:val="none"/>
          </w:rPr>
          <w:t>Ther Apher Dial 2023; 27:839.</w:t>
        </w:r>
      </w:hyperlink>
    </w:p>
    <w:p w14:paraId="49EC007E"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0" w:history="1">
        <w:r w:rsidRPr="00E24D50">
          <w:rPr>
            <w:rFonts w:ascii="Noto Sans" w:eastAsia="Times New Roman" w:hAnsi="Noto Sans" w:cs="Noto Sans"/>
            <w:color w:val="0074B9"/>
            <w:kern w:val="0"/>
            <w:sz w:val="24"/>
            <w:szCs w:val="24"/>
            <w:lang w:val="en-GB" w:eastAsia="de-DE"/>
            <w14:ligatures w14:val="none"/>
          </w:rPr>
          <w:t xml:space="preserve">Block GA, Rosenbaum DP, Yan A, Chertow GM. Efficacy and Safety of Tenapanor in Patients with Hyperphosphatemia Receiving Maintenance Hemodialysis: A Randomized Phase 3 Trial. </w:t>
        </w:r>
        <w:r w:rsidRPr="00E24D50">
          <w:rPr>
            <w:rFonts w:ascii="Noto Sans" w:eastAsia="Times New Roman" w:hAnsi="Noto Sans" w:cs="Noto Sans"/>
            <w:color w:val="0074B9"/>
            <w:kern w:val="0"/>
            <w:sz w:val="24"/>
            <w:szCs w:val="24"/>
            <w:lang w:eastAsia="de-DE"/>
            <w14:ligatures w14:val="none"/>
          </w:rPr>
          <w:t>J Am Soc Nephrol 2019; 30:641.</w:t>
        </w:r>
      </w:hyperlink>
    </w:p>
    <w:p w14:paraId="7DDBBCB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1" w:history="1">
        <w:r w:rsidRPr="00E24D50">
          <w:rPr>
            <w:rFonts w:ascii="Noto Sans" w:eastAsia="Times New Roman" w:hAnsi="Noto Sans" w:cs="Noto Sans"/>
            <w:color w:val="0074B9"/>
            <w:kern w:val="0"/>
            <w:sz w:val="24"/>
            <w:szCs w:val="24"/>
            <w:lang w:val="en-GB" w:eastAsia="de-DE"/>
            <w14:ligatures w14:val="none"/>
          </w:rPr>
          <w:t xml:space="preserve">Block GA, Bleyer AJ, Silva AL, et al. Safety and Efficacy of Tenapanor for Long-term Serum Phosphate Control in Maintenance Dialysis: A 52-Week Randomized Phase 3 Trial (PHREEDOM). </w:t>
        </w:r>
        <w:r w:rsidRPr="00E24D50">
          <w:rPr>
            <w:rFonts w:ascii="Noto Sans" w:eastAsia="Times New Roman" w:hAnsi="Noto Sans" w:cs="Noto Sans"/>
            <w:color w:val="0074B9"/>
            <w:kern w:val="0"/>
            <w:sz w:val="24"/>
            <w:szCs w:val="24"/>
            <w:lang w:eastAsia="de-DE"/>
            <w14:ligatures w14:val="none"/>
          </w:rPr>
          <w:t>Kidney360 2021; 2:1600.</w:t>
        </w:r>
      </w:hyperlink>
    </w:p>
    <w:p w14:paraId="71E465C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2" w:history="1">
        <w:r w:rsidRPr="00E24D50">
          <w:rPr>
            <w:rFonts w:ascii="Noto Sans" w:eastAsia="Times New Roman" w:hAnsi="Noto Sans" w:cs="Noto Sans"/>
            <w:color w:val="0074B9"/>
            <w:kern w:val="0"/>
            <w:sz w:val="24"/>
            <w:szCs w:val="24"/>
            <w:lang w:val="en-GB" w:eastAsia="de-DE"/>
            <w14:ligatures w14:val="none"/>
          </w:rPr>
          <w:t xml:space="preserve">Pergola PE, Rosenbaum DP, Yang Y, Chertow GM. A Randomized Trial of Tenapanor and Phosphate Binders as a Dual-Mechanism Treatment for Hyperphosphatemia in Patients on Maintenance Dialysis (AMPLIFY). </w:t>
        </w:r>
        <w:r w:rsidRPr="00E24D50">
          <w:rPr>
            <w:rFonts w:ascii="Noto Sans" w:eastAsia="Times New Roman" w:hAnsi="Noto Sans" w:cs="Noto Sans"/>
            <w:color w:val="0074B9"/>
            <w:kern w:val="0"/>
            <w:sz w:val="24"/>
            <w:szCs w:val="24"/>
            <w:lang w:eastAsia="de-DE"/>
            <w14:ligatures w14:val="none"/>
          </w:rPr>
          <w:t>J Am Soc Nephrol 2021; 32:1465.</w:t>
        </w:r>
      </w:hyperlink>
    </w:p>
    <w:p w14:paraId="6220F894"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3" w:history="1">
        <w:r w:rsidRPr="00E24D50">
          <w:rPr>
            <w:rFonts w:ascii="Noto Sans" w:eastAsia="Times New Roman" w:hAnsi="Noto Sans" w:cs="Noto Sans"/>
            <w:color w:val="0074B9"/>
            <w:kern w:val="0"/>
            <w:sz w:val="24"/>
            <w:szCs w:val="24"/>
            <w:lang w:val="en-GB" w:eastAsia="de-DE"/>
            <w14:ligatures w14:val="none"/>
          </w:rPr>
          <w:t xml:space="preserve">Fukagawa M, Urano N, Ikejiri K, et al. Tenapanor for the Treatment of Hyperphosphatemia in Japanese Hemodialysis Patients: A Randomized Phase 3 Monotherapy Study With an Up-titration Regimen. </w:t>
        </w:r>
        <w:r w:rsidRPr="00E24D50">
          <w:rPr>
            <w:rFonts w:ascii="Noto Sans" w:eastAsia="Times New Roman" w:hAnsi="Noto Sans" w:cs="Noto Sans"/>
            <w:color w:val="0074B9"/>
            <w:kern w:val="0"/>
            <w:sz w:val="24"/>
            <w:szCs w:val="24"/>
            <w:lang w:eastAsia="de-DE"/>
            <w14:ligatures w14:val="none"/>
          </w:rPr>
          <w:t>Am J Kidney Dis 2023; 82:635.</w:t>
        </w:r>
      </w:hyperlink>
    </w:p>
    <w:p w14:paraId="25ED20A8"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4" w:history="1">
        <w:r w:rsidRPr="00E24D50">
          <w:rPr>
            <w:rFonts w:ascii="Noto Sans" w:eastAsia="Times New Roman" w:hAnsi="Noto Sans" w:cs="Noto Sans"/>
            <w:color w:val="0074B9"/>
            <w:kern w:val="0"/>
            <w:sz w:val="24"/>
            <w:szCs w:val="24"/>
            <w:lang w:val="en-GB" w:eastAsia="de-DE"/>
            <w14:ligatures w14:val="none"/>
          </w:rPr>
          <w:t xml:space="preserve">Nitta K, Itoyama S, Ikejiri K, et al. Randomized Study of Tenapanor Added to Phosphate Binders for Patients With Refractory Hyperphosphatemia. </w:t>
        </w:r>
        <w:r w:rsidRPr="00E24D50">
          <w:rPr>
            <w:rFonts w:ascii="Noto Sans" w:eastAsia="Times New Roman" w:hAnsi="Noto Sans" w:cs="Noto Sans"/>
            <w:color w:val="0074B9"/>
            <w:kern w:val="0"/>
            <w:sz w:val="24"/>
            <w:szCs w:val="24"/>
            <w:lang w:eastAsia="de-DE"/>
            <w14:ligatures w14:val="none"/>
          </w:rPr>
          <w:t>Kidney Int Rep 2023; 8:2243.</w:t>
        </w:r>
      </w:hyperlink>
    </w:p>
    <w:p w14:paraId="150A8D2C"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5" w:history="1">
        <w:r w:rsidRPr="00E24D50">
          <w:rPr>
            <w:rFonts w:ascii="Noto Sans" w:eastAsia="Times New Roman" w:hAnsi="Noto Sans" w:cs="Noto Sans"/>
            <w:color w:val="0074B9"/>
            <w:kern w:val="0"/>
            <w:sz w:val="24"/>
            <w:szCs w:val="24"/>
            <w:lang w:val="en-GB" w:eastAsia="de-DE"/>
            <w14:ligatures w14:val="none"/>
          </w:rPr>
          <w:t xml:space="preserve">Silva AL, Chertow GM, Hernandez GT, et al. Tenapanor Improves Long-Term Control of Hyperphosphatemia in Patients Receiving Maintenance Dialysis: the NORMALIZE Study. </w:t>
        </w:r>
        <w:r w:rsidRPr="00E24D50">
          <w:rPr>
            <w:rFonts w:ascii="Noto Sans" w:eastAsia="Times New Roman" w:hAnsi="Noto Sans" w:cs="Noto Sans"/>
            <w:color w:val="0074B9"/>
            <w:kern w:val="0"/>
            <w:sz w:val="24"/>
            <w:szCs w:val="24"/>
            <w:lang w:eastAsia="de-DE"/>
            <w14:ligatures w14:val="none"/>
          </w:rPr>
          <w:t>Kidney360 2023; 4:1580.</w:t>
        </w:r>
      </w:hyperlink>
    </w:p>
    <w:p w14:paraId="50D6970B" w14:textId="77777777" w:rsidR="00E24D50" w:rsidRPr="00E24D50" w:rsidRDefault="00E24D50" w:rsidP="00E24D50">
      <w:pPr>
        <w:numPr>
          <w:ilvl w:val="0"/>
          <w:numId w:val="4"/>
        </w:numPr>
        <w:shd w:val="clear" w:color="auto" w:fill="FFFFFF"/>
        <w:spacing w:after="0" w:line="240" w:lineRule="auto"/>
        <w:rPr>
          <w:rFonts w:ascii="Noto Sans" w:eastAsia="Times New Roman" w:hAnsi="Noto Sans" w:cs="Noto Sans"/>
          <w:color w:val="232323"/>
          <w:kern w:val="0"/>
          <w:sz w:val="24"/>
          <w:szCs w:val="24"/>
          <w:lang w:eastAsia="de-DE"/>
          <w14:ligatures w14:val="none"/>
        </w:rPr>
      </w:pPr>
      <w:hyperlink r:id="rId126" w:history="1">
        <w:r w:rsidRPr="00E24D50">
          <w:rPr>
            <w:rFonts w:ascii="Noto Sans" w:eastAsia="Times New Roman" w:hAnsi="Noto Sans" w:cs="Noto Sans"/>
            <w:color w:val="0074B9"/>
            <w:kern w:val="0"/>
            <w:sz w:val="24"/>
            <w:szCs w:val="24"/>
            <w:lang w:eastAsia="de-DE"/>
            <w14:ligatures w14:val="none"/>
          </w:rPr>
          <w:t xml:space="preserve">Sprague SM, Weiner DE, Tietjen DP, et al. </w:t>
        </w:r>
        <w:r w:rsidRPr="00E24D50">
          <w:rPr>
            <w:rFonts w:ascii="Noto Sans" w:eastAsia="Times New Roman" w:hAnsi="Noto Sans" w:cs="Noto Sans"/>
            <w:color w:val="0074B9"/>
            <w:kern w:val="0"/>
            <w:sz w:val="24"/>
            <w:szCs w:val="24"/>
            <w:lang w:val="en-GB" w:eastAsia="de-DE"/>
            <w14:ligatures w14:val="none"/>
          </w:rPr>
          <w:t xml:space="preserve">Tenapanor as Therapy for Hyperphosphatemia in Maintenance Dialysis Patients: Results from the OPTIMIZE Study. </w:t>
        </w:r>
        <w:r w:rsidRPr="00E24D50">
          <w:rPr>
            <w:rFonts w:ascii="Noto Sans" w:eastAsia="Times New Roman" w:hAnsi="Noto Sans" w:cs="Noto Sans"/>
            <w:color w:val="0074B9"/>
            <w:kern w:val="0"/>
            <w:sz w:val="24"/>
            <w:szCs w:val="24"/>
            <w:lang w:eastAsia="de-DE"/>
            <w14:ligatures w14:val="none"/>
          </w:rPr>
          <w:t>Kidney360 2024; 5:732.</w:t>
        </w:r>
      </w:hyperlink>
    </w:p>
    <w:p w14:paraId="0C5BAAF9" w14:textId="77777777" w:rsidR="00E24D50" w:rsidRPr="00750429" w:rsidRDefault="00E24D50" w:rsidP="00E24D50">
      <w:pPr>
        <w:bidi/>
        <w:spacing w:after="0"/>
        <w:rPr>
          <w:rFonts w:asciiTheme="minorBidi" w:hAnsiTheme="minorBidi"/>
          <w:sz w:val="28"/>
          <w:szCs w:val="28"/>
        </w:rPr>
      </w:pPr>
    </w:p>
    <w:p w14:paraId="2A585936" w14:textId="77777777" w:rsidR="007934CA" w:rsidRPr="00750429" w:rsidRDefault="007934CA" w:rsidP="00750429">
      <w:pPr>
        <w:bidi/>
        <w:spacing w:after="0"/>
        <w:rPr>
          <w:rFonts w:asciiTheme="minorBidi" w:hAnsiTheme="minorBidi"/>
          <w:sz w:val="28"/>
          <w:szCs w:val="28"/>
        </w:rPr>
      </w:pPr>
    </w:p>
    <w:sectPr w:rsidR="007934CA" w:rsidRPr="0075042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04C72"/>
    <w:multiLevelType w:val="multilevel"/>
    <w:tmpl w:val="EE38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AC761E"/>
    <w:multiLevelType w:val="multilevel"/>
    <w:tmpl w:val="60D8D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C622D4"/>
    <w:multiLevelType w:val="multilevel"/>
    <w:tmpl w:val="914C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0C253D"/>
    <w:multiLevelType w:val="multilevel"/>
    <w:tmpl w:val="9B44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2090633">
    <w:abstractNumId w:val="2"/>
  </w:num>
  <w:num w:numId="2" w16cid:durableId="1149051240">
    <w:abstractNumId w:val="0"/>
  </w:num>
  <w:num w:numId="3" w16cid:durableId="1023941178">
    <w:abstractNumId w:val="3"/>
  </w:num>
  <w:num w:numId="4" w16cid:durableId="1277493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D2D"/>
    <w:rsid w:val="0014091D"/>
    <w:rsid w:val="00395B73"/>
    <w:rsid w:val="00564C50"/>
    <w:rsid w:val="00636D2D"/>
    <w:rsid w:val="00660430"/>
    <w:rsid w:val="00750429"/>
    <w:rsid w:val="007934CA"/>
    <w:rsid w:val="008523E5"/>
    <w:rsid w:val="009E7000"/>
    <w:rsid w:val="00C95370"/>
    <w:rsid w:val="00CD5F47"/>
    <w:rsid w:val="00CE1A86"/>
    <w:rsid w:val="00DF1DB7"/>
    <w:rsid w:val="00E24D50"/>
    <w:rsid w:val="00E71958"/>
    <w:rsid w:val="00EC7877"/>
    <w:rsid w:val="00F32A99"/>
    <w:rsid w:val="00FB41D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BA8BC"/>
  <w15:chartTrackingRefBased/>
  <w15:docId w15:val="{564E542E-8F85-4ADA-BCF4-D09E70EFE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36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36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36D2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36D2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36D2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36D2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36D2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36D2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36D2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36D2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36D2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36D2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36D2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36D2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36D2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36D2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36D2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36D2D"/>
    <w:rPr>
      <w:rFonts w:eastAsiaTheme="majorEastAsia" w:cstheme="majorBidi"/>
      <w:color w:val="272727" w:themeColor="text1" w:themeTint="D8"/>
    </w:rPr>
  </w:style>
  <w:style w:type="paragraph" w:styleId="Titel">
    <w:name w:val="Title"/>
    <w:basedOn w:val="Standard"/>
    <w:next w:val="Standard"/>
    <w:link w:val="TitelZchn"/>
    <w:uiPriority w:val="10"/>
    <w:qFormat/>
    <w:rsid w:val="00636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36D2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36D2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36D2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36D2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36D2D"/>
    <w:rPr>
      <w:i/>
      <w:iCs/>
      <w:color w:val="404040" w:themeColor="text1" w:themeTint="BF"/>
    </w:rPr>
  </w:style>
  <w:style w:type="paragraph" w:styleId="Listenabsatz">
    <w:name w:val="List Paragraph"/>
    <w:basedOn w:val="Standard"/>
    <w:uiPriority w:val="34"/>
    <w:qFormat/>
    <w:rsid w:val="00636D2D"/>
    <w:pPr>
      <w:ind w:left="720"/>
      <w:contextualSpacing/>
    </w:pPr>
  </w:style>
  <w:style w:type="character" w:styleId="IntensiveHervorhebung">
    <w:name w:val="Intense Emphasis"/>
    <w:basedOn w:val="Absatz-Standardschriftart"/>
    <w:uiPriority w:val="21"/>
    <w:qFormat/>
    <w:rsid w:val="00636D2D"/>
    <w:rPr>
      <w:i/>
      <w:iCs/>
      <w:color w:val="0F4761" w:themeColor="accent1" w:themeShade="BF"/>
    </w:rPr>
  </w:style>
  <w:style w:type="paragraph" w:styleId="IntensivesZitat">
    <w:name w:val="Intense Quote"/>
    <w:basedOn w:val="Standard"/>
    <w:next w:val="Standard"/>
    <w:link w:val="IntensivesZitatZchn"/>
    <w:uiPriority w:val="30"/>
    <w:qFormat/>
    <w:rsid w:val="00636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36D2D"/>
    <w:rPr>
      <w:i/>
      <w:iCs/>
      <w:color w:val="0F4761" w:themeColor="accent1" w:themeShade="BF"/>
    </w:rPr>
  </w:style>
  <w:style w:type="character" w:styleId="IntensiverVerweis">
    <w:name w:val="Intense Reference"/>
    <w:basedOn w:val="Absatz-Standardschriftart"/>
    <w:uiPriority w:val="32"/>
    <w:qFormat/>
    <w:rsid w:val="00636D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uptodate.com/contents/management-of-hyperphosphatemia-in-adults-with-chronic-kidney-disease/abstract/22?searchCorrelationId=c6976ace-831f-47ea-a050-987e7b2b07ee&amp;searchCorrelationTerm=phosphate%20binders" TargetMode="External"/><Relationship Id="rId117" Type="http://schemas.openxmlformats.org/officeDocument/2006/relationships/hyperlink" Target="https://www.uptodate.com/contents/management-of-hyperphosphatemia-in-adults-with-chronic-kidney-disease/abstract/113?searchCorrelationId=c6976ace-831f-47ea-a050-987e7b2b07ee&amp;searchCorrelationTerm=phosphate%20binders" TargetMode="External"/><Relationship Id="rId21" Type="http://schemas.openxmlformats.org/officeDocument/2006/relationships/hyperlink" Target="https://www.uptodate.com/contents/management-of-hyperphosphatemia-in-adults-with-chronic-kidney-disease/abstract/17?searchCorrelationId=c6976ace-831f-47ea-a050-987e7b2b07ee&amp;searchCorrelationTerm=phosphate%20binders" TargetMode="External"/><Relationship Id="rId42" Type="http://schemas.openxmlformats.org/officeDocument/2006/relationships/hyperlink" Target="https://www.uptodate.com/contents/management-of-hyperphosphatemia-in-adults-with-chronic-kidney-disease/abstract/38?searchCorrelationId=c6976ace-831f-47ea-a050-987e7b2b07ee&amp;searchCorrelationTerm=phosphate%20binders" TargetMode="External"/><Relationship Id="rId47" Type="http://schemas.openxmlformats.org/officeDocument/2006/relationships/hyperlink" Target="https://www.uptodate.com/contents/management-of-hyperphosphatemia-in-adults-with-chronic-kidney-disease/abstract/43?searchCorrelationId=c6976ace-831f-47ea-a050-987e7b2b07ee&amp;searchCorrelationTerm=phosphate%20binders" TargetMode="External"/><Relationship Id="rId63" Type="http://schemas.openxmlformats.org/officeDocument/2006/relationships/hyperlink" Target="https://www.uptodate.com/contents/management-of-hyperphosphatemia-in-adults-with-chronic-kidney-disease/abstract/59?searchCorrelationId=c6976ace-831f-47ea-a050-987e7b2b07ee&amp;searchCorrelationTerm=phosphate%20binders" TargetMode="External"/><Relationship Id="rId68" Type="http://schemas.openxmlformats.org/officeDocument/2006/relationships/hyperlink" Target="https://www.uptodate.com/contents/management-of-hyperphosphatemia-in-adults-with-chronic-kidney-disease/abstract/64?searchCorrelationId=c6976ace-831f-47ea-a050-987e7b2b07ee&amp;searchCorrelationTerm=phosphate%20binders" TargetMode="External"/><Relationship Id="rId84" Type="http://schemas.openxmlformats.org/officeDocument/2006/relationships/hyperlink" Target="https://www.uptodate.com/contents/management-of-hyperphosphatemia-in-adults-with-chronic-kidney-disease/abstract/80?searchCorrelationId=c6976ace-831f-47ea-a050-987e7b2b07ee&amp;searchCorrelationTerm=phosphate%20binders" TargetMode="External"/><Relationship Id="rId89" Type="http://schemas.openxmlformats.org/officeDocument/2006/relationships/hyperlink" Target="https://www.uptodate.com/contents/management-of-hyperphosphatemia-in-adults-with-chronic-kidney-disease/abstract/85?searchCorrelationId=c6976ace-831f-47ea-a050-987e7b2b07ee&amp;searchCorrelationTerm=phosphate%20binders" TargetMode="External"/><Relationship Id="rId112" Type="http://schemas.openxmlformats.org/officeDocument/2006/relationships/hyperlink" Target="https://www.uptodate.com/contents/management-of-hyperphosphatemia-in-adults-with-chronic-kidney-disease/abstract/108?searchCorrelationId=c6976ace-831f-47ea-a050-987e7b2b07ee&amp;searchCorrelationTerm=phosphate%20binders" TargetMode="External"/><Relationship Id="rId16" Type="http://schemas.openxmlformats.org/officeDocument/2006/relationships/hyperlink" Target="https://www.uptodate.com/contents/management-of-hyperphosphatemia-in-adults-with-chronic-kidney-disease/abstract/12?searchCorrelationId=c6976ace-831f-47ea-a050-987e7b2b07ee&amp;searchCorrelationTerm=phosphate%20binders" TargetMode="External"/><Relationship Id="rId107" Type="http://schemas.openxmlformats.org/officeDocument/2006/relationships/hyperlink" Target="https://www.uptodate.com/contents/management-of-hyperphosphatemia-in-adults-with-chronic-kidney-disease/abstract/103?searchCorrelationId=c6976ace-831f-47ea-a050-987e7b2b07ee&amp;searchCorrelationTerm=phosphate%20binders" TargetMode="External"/><Relationship Id="rId11" Type="http://schemas.openxmlformats.org/officeDocument/2006/relationships/hyperlink" Target="https://www.uptodate.com/contents/management-of-hyperphosphatemia-in-adults-with-chronic-kidney-disease/abstract/7?searchCorrelationId=c6976ace-831f-47ea-a050-987e7b2b07ee&amp;searchCorrelationTerm=phosphate%20binders" TargetMode="External"/><Relationship Id="rId32" Type="http://schemas.openxmlformats.org/officeDocument/2006/relationships/hyperlink" Target="https://www.uptodate.com/contents/management-of-hyperphosphatemia-in-adults-with-chronic-kidney-disease/abstract/28?searchCorrelationId=c6976ace-831f-47ea-a050-987e7b2b07ee&amp;searchCorrelationTerm=phosphate%20binders" TargetMode="External"/><Relationship Id="rId37" Type="http://schemas.openxmlformats.org/officeDocument/2006/relationships/hyperlink" Target="https://www.uptodate.com/contents/management-of-hyperphosphatemia-in-adults-with-chronic-kidney-disease/abstract/33?searchCorrelationId=c6976ace-831f-47ea-a050-987e7b2b07ee&amp;searchCorrelationTerm=phosphate%20binders" TargetMode="External"/><Relationship Id="rId53" Type="http://schemas.openxmlformats.org/officeDocument/2006/relationships/hyperlink" Target="https://www.uptodate.com/contents/management-of-hyperphosphatemia-in-adults-with-chronic-kidney-disease/abstract/49?searchCorrelationId=c6976ace-831f-47ea-a050-987e7b2b07ee&amp;searchCorrelationTerm=phosphate%20binders" TargetMode="External"/><Relationship Id="rId58" Type="http://schemas.openxmlformats.org/officeDocument/2006/relationships/hyperlink" Target="https://www.uptodate.com/contents/management-of-hyperphosphatemia-in-adults-with-chronic-kidney-disease/abstract/54?searchCorrelationId=c6976ace-831f-47ea-a050-987e7b2b07ee&amp;searchCorrelationTerm=phosphate%20binders" TargetMode="External"/><Relationship Id="rId74" Type="http://schemas.openxmlformats.org/officeDocument/2006/relationships/hyperlink" Target="https://www.uptodate.com/contents/management-of-hyperphosphatemia-in-adults-with-chronic-kidney-disease/abstract/70?searchCorrelationId=c6976ace-831f-47ea-a050-987e7b2b07ee&amp;searchCorrelationTerm=phosphate%20binders" TargetMode="External"/><Relationship Id="rId79" Type="http://schemas.openxmlformats.org/officeDocument/2006/relationships/hyperlink" Target="https://www.uptodate.com/contents/management-of-hyperphosphatemia-in-adults-with-chronic-kidney-disease/abstract/75?searchCorrelationId=c6976ace-831f-47ea-a050-987e7b2b07ee&amp;searchCorrelationTerm=phosphate%20binders" TargetMode="External"/><Relationship Id="rId102" Type="http://schemas.openxmlformats.org/officeDocument/2006/relationships/hyperlink" Target="https://www.uptodate.com/contents/management-of-hyperphosphatemia-in-adults-with-chronic-kidney-disease/abstract/98?searchCorrelationId=c6976ace-831f-47ea-a050-987e7b2b07ee&amp;searchCorrelationTerm=phosphate%20binders" TargetMode="External"/><Relationship Id="rId123" Type="http://schemas.openxmlformats.org/officeDocument/2006/relationships/hyperlink" Target="https://www.uptodate.com/contents/management-of-hyperphosphatemia-in-adults-with-chronic-kidney-disease/abstract/119?searchCorrelationId=c6976ace-831f-47ea-a050-987e7b2b07ee&amp;searchCorrelationTerm=phosphate%20binders" TargetMode="External"/><Relationship Id="rId128" Type="http://schemas.openxmlformats.org/officeDocument/2006/relationships/theme" Target="theme/theme1.xml"/><Relationship Id="rId5" Type="http://schemas.openxmlformats.org/officeDocument/2006/relationships/hyperlink" Target="https://www.uptodate.com/contents/management-of-hyperphosphatemia-in-adults-with-chronic-kidney-disease/abstract/1?searchCorrelationId=c6976ace-831f-47ea-a050-987e7b2b07ee&amp;searchCorrelationTerm=phosphate%20binders" TargetMode="External"/><Relationship Id="rId90" Type="http://schemas.openxmlformats.org/officeDocument/2006/relationships/hyperlink" Target="https://www.uptodate.com/contents/management-of-hyperphosphatemia-in-adults-with-chronic-kidney-disease/abstract/86?searchCorrelationId=c6976ace-831f-47ea-a050-987e7b2b07ee&amp;searchCorrelationTerm=phosphate%20binders" TargetMode="External"/><Relationship Id="rId95" Type="http://schemas.openxmlformats.org/officeDocument/2006/relationships/hyperlink" Target="https://www.uptodate.com/contents/management-of-hyperphosphatemia-in-adults-with-chronic-kidney-disease/abstract/91?searchCorrelationId=c6976ace-831f-47ea-a050-987e7b2b07ee&amp;searchCorrelationTerm=phosphate%20binders" TargetMode="External"/><Relationship Id="rId22" Type="http://schemas.openxmlformats.org/officeDocument/2006/relationships/hyperlink" Target="https://www.uptodate.com/contents/management-of-hyperphosphatemia-in-adults-with-chronic-kidney-disease/abstract/18?searchCorrelationId=c6976ace-831f-47ea-a050-987e7b2b07ee&amp;searchCorrelationTerm=phosphate%20binders" TargetMode="External"/><Relationship Id="rId27" Type="http://schemas.openxmlformats.org/officeDocument/2006/relationships/hyperlink" Target="https://www.uptodate.com/contents/management-of-hyperphosphatemia-in-adults-with-chronic-kidney-disease/abstract/23?searchCorrelationId=c6976ace-831f-47ea-a050-987e7b2b07ee&amp;searchCorrelationTerm=phosphate%20binders" TargetMode="External"/><Relationship Id="rId43" Type="http://schemas.openxmlformats.org/officeDocument/2006/relationships/hyperlink" Target="https://www.uptodate.com/contents/management-of-hyperphosphatemia-in-adults-with-chronic-kidney-disease/abstract/39?searchCorrelationId=c6976ace-831f-47ea-a050-987e7b2b07ee&amp;searchCorrelationTerm=phosphate%20binders" TargetMode="External"/><Relationship Id="rId48" Type="http://schemas.openxmlformats.org/officeDocument/2006/relationships/hyperlink" Target="https://www.uptodate.com/contents/management-of-hyperphosphatemia-in-adults-with-chronic-kidney-disease/abstract/44?searchCorrelationId=c6976ace-831f-47ea-a050-987e7b2b07ee&amp;searchCorrelationTerm=phosphate%20binders" TargetMode="External"/><Relationship Id="rId64" Type="http://schemas.openxmlformats.org/officeDocument/2006/relationships/hyperlink" Target="https://www.uptodate.com/contents/management-of-hyperphosphatemia-in-adults-with-chronic-kidney-disease/abstract/60?searchCorrelationId=c6976ace-831f-47ea-a050-987e7b2b07ee&amp;searchCorrelationTerm=phosphate%20binders" TargetMode="External"/><Relationship Id="rId69" Type="http://schemas.openxmlformats.org/officeDocument/2006/relationships/hyperlink" Target="https://www.uptodate.com/contents/management-of-hyperphosphatemia-in-adults-with-chronic-kidney-disease/abstract/65?searchCorrelationId=c6976ace-831f-47ea-a050-987e7b2b07ee&amp;searchCorrelationTerm=phosphate%20binders" TargetMode="External"/><Relationship Id="rId113" Type="http://schemas.openxmlformats.org/officeDocument/2006/relationships/hyperlink" Target="https://www.uptodate.com/contents/management-of-hyperphosphatemia-in-adults-with-chronic-kidney-disease/abstract/109?searchCorrelationId=c6976ace-831f-47ea-a050-987e7b2b07ee&amp;searchCorrelationTerm=phosphate%20binders" TargetMode="External"/><Relationship Id="rId118" Type="http://schemas.openxmlformats.org/officeDocument/2006/relationships/hyperlink" Target="https://www.uptodate.com/contents/management-of-hyperphosphatemia-in-adults-with-chronic-kidney-disease/abstract/114?searchCorrelationId=c6976ace-831f-47ea-a050-987e7b2b07ee&amp;searchCorrelationTerm=phosphate%20binders" TargetMode="External"/><Relationship Id="rId80" Type="http://schemas.openxmlformats.org/officeDocument/2006/relationships/hyperlink" Target="https://www.uptodate.com/contents/management-of-hyperphosphatemia-in-adults-with-chronic-kidney-disease/abstract/76?searchCorrelationId=c6976ace-831f-47ea-a050-987e7b2b07ee&amp;searchCorrelationTerm=phosphate%20binders" TargetMode="External"/><Relationship Id="rId85" Type="http://schemas.openxmlformats.org/officeDocument/2006/relationships/hyperlink" Target="https://www.uptodate.com/contents/management-of-hyperphosphatemia-in-adults-with-chronic-kidney-disease/abstract/81?searchCorrelationId=c6976ace-831f-47ea-a050-987e7b2b07ee&amp;searchCorrelationTerm=phosphate%20binders" TargetMode="External"/><Relationship Id="rId12" Type="http://schemas.openxmlformats.org/officeDocument/2006/relationships/hyperlink" Target="https://www.uptodate.com/contents/management-of-hyperphosphatemia-in-adults-with-chronic-kidney-disease/abstract/8?searchCorrelationId=c6976ace-831f-47ea-a050-987e7b2b07ee&amp;searchCorrelationTerm=phosphate%20binders" TargetMode="External"/><Relationship Id="rId17" Type="http://schemas.openxmlformats.org/officeDocument/2006/relationships/hyperlink" Target="https://www.uptodate.com/contents/management-of-hyperphosphatemia-in-adults-with-chronic-kidney-disease/abstract/13?searchCorrelationId=c6976ace-831f-47ea-a050-987e7b2b07ee&amp;searchCorrelationTerm=phosphate%20binders" TargetMode="External"/><Relationship Id="rId33" Type="http://schemas.openxmlformats.org/officeDocument/2006/relationships/hyperlink" Target="https://www.uptodate.com/contents/management-of-hyperphosphatemia-in-adults-with-chronic-kidney-disease/abstract/29?searchCorrelationId=c6976ace-831f-47ea-a050-987e7b2b07ee&amp;searchCorrelationTerm=phosphate%20binders" TargetMode="External"/><Relationship Id="rId38" Type="http://schemas.openxmlformats.org/officeDocument/2006/relationships/hyperlink" Target="https://www.uptodate.com/contents/management-of-hyperphosphatemia-in-adults-with-chronic-kidney-disease/abstract/34?searchCorrelationId=c6976ace-831f-47ea-a050-987e7b2b07ee&amp;searchCorrelationTerm=phosphate%20binders" TargetMode="External"/><Relationship Id="rId59" Type="http://schemas.openxmlformats.org/officeDocument/2006/relationships/hyperlink" Target="https://www.uptodate.com/contents/management-of-hyperphosphatemia-in-adults-with-chronic-kidney-disease/abstract/55?searchCorrelationId=c6976ace-831f-47ea-a050-987e7b2b07ee&amp;searchCorrelationTerm=phosphate%20binders" TargetMode="External"/><Relationship Id="rId103" Type="http://schemas.openxmlformats.org/officeDocument/2006/relationships/hyperlink" Target="https://www.uptodate.com/contents/management-of-hyperphosphatemia-in-adults-with-chronic-kidney-disease/abstract/99?searchCorrelationId=c6976ace-831f-47ea-a050-987e7b2b07ee&amp;searchCorrelationTerm=phosphate%20binders" TargetMode="External"/><Relationship Id="rId108" Type="http://schemas.openxmlformats.org/officeDocument/2006/relationships/hyperlink" Target="https://www.uptodate.com/contents/management-of-hyperphosphatemia-in-adults-with-chronic-kidney-disease/abstract/104?searchCorrelationId=c6976ace-831f-47ea-a050-987e7b2b07ee&amp;searchCorrelationTerm=phosphate%20binders" TargetMode="External"/><Relationship Id="rId124" Type="http://schemas.openxmlformats.org/officeDocument/2006/relationships/hyperlink" Target="https://www.uptodate.com/contents/management-of-hyperphosphatemia-in-adults-with-chronic-kidney-disease/abstract/120?searchCorrelationId=c6976ace-831f-47ea-a050-987e7b2b07ee&amp;searchCorrelationTerm=phosphate%20binders" TargetMode="External"/><Relationship Id="rId54" Type="http://schemas.openxmlformats.org/officeDocument/2006/relationships/hyperlink" Target="https://www.uptodate.com/contents/management-of-hyperphosphatemia-in-adults-with-chronic-kidney-disease/abstract/50?searchCorrelationId=c6976ace-831f-47ea-a050-987e7b2b07ee&amp;searchCorrelationTerm=phosphate%20binders" TargetMode="External"/><Relationship Id="rId70" Type="http://schemas.openxmlformats.org/officeDocument/2006/relationships/hyperlink" Target="https://www.uptodate.com/contents/management-of-hyperphosphatemia-in-adults-with-chronic-kidney-disease/abstract/66?searchCorrelationId=c6976ace-831f-47ea-a050-987e7b2b07ee&amp;searchCorrelationTerm=phosphate%20binders" TargetMode="External"/><Relationship Id="rId75" Type="http://schemas.openxmlformats.org/officeDocument/2006/relationships/hyperlink" Target="https://www.uptodate.com/contents/management-of-hyperphosphatemia-in-adults-with-chronic-kidney-disease/abstract/71?searchCorrelationId=c6976ace-831f-47ea-a050-987e7b2b07ee&amp;searchCorrelationTerm=phosphate%20binders" TargetMode="External"/><Relationship Id="rId91" Type="http://schemas.openxmlformats.org/officeDocument/2006/relationships/hyperlink" Target="https://www.uptodate.com/contents/management-of-hyperphosphatemia-in-adults-with-chronic-kidney-disease/abstract/87?searchCorrelationId=c6976ace-831f-47ea-a050-987e7b2b07ee&amp;searchCorrelationTerm=phosphate%20binders" TargetMode="External"/><Relationship Id="rId96" Type="http://schemas.openxmlformats.org/officeDocument/2006/relationships/hyperlink" Target="https://www.uptodate.com/contents/management-of-hyperphosphatemia-in-adults-with-chronic-kidney-disease/abstract/92?searchCorrelationId=c6976ace-831f-47ea-a050-987e7b2b07ee&amp;searchCorrelationTerm=phosphate%20binders" TargetMode="External"/><Relationship Id="rId1" Type="http://schemas.openxmlformats.org/officeDocument/2006/relationships/numbering" Target="numbering.xml"/><Relationship Id="rId6" Type="http://schemas.openxmlformats.org/officeDocument/2006/relationships/hyperlink" Target="https://www.uptodate.com/contents/management-of-hyperphosphatemia-in-adults-with-chronic-kidney-disease/abstract/2?searchCorrelationId=c6976ace-831f-47ea-a050-987e7b2b07ee&amp;searchCorrelationTerm=phosphate%20binders" TargetMode="External"/><Relationship Id="rId23" Type="http://schemas.openxmlformats.org/officeDocument/2006/relationships/hyperlink" Target="https://www.uptodate.com/contents/management-of-hyperphosphatemia-in-adults-with-chronic-kidney-disease/abstract/19?searchCorrelationId=c6976ace-831f-47ea-a050-987e7b2b07ee&amp;searchCorrelationTerm=phosphate%20binders" TargetMode="External"/><Relationship Id="rId28" Type="http://schemas.openxmlformats.org/officeDocument/2006/relationships/hyperlink" Target="https://www.uptodate.com/contents/management-of-hyperphosphatemia-in-adults-with-chronic-kidney-disease/abstract/24?searchCorrelationId=c6976ace-831f-47ea-a050-987e7b2b07ee&amp;searchCorrelationTerm=phosphate%20binders" TargetMode="External"/><Relationship Id="rId49" Type="http://schemas.openxmlformats.org/officeDocument/2006/relationships/hyperlink" Target="https://www.uptodate.com/contents/management-of-hyperphosphatemia-in-adults-with-chronic-kidney-disease/abstract/45?searchCorrelationId=c6976ace-831f-47ea-a050-987e7b2b07ee&amp;searchCorrelationTerm=phosphate%20binders" TargetMode="External"/><Relationship Id="rId114" Type="http://schemas.openxmlformats.org/officeDocument/2006/relationships/hyperlink" Target="https://www.uptodate.com/contents/management-of-hyperphosphatemia-in-adults-with-chronic-kidney-disease/abstract/110?searchCorrelationId=c6976ace-831f-47ea-a050-987e7b2b07ee&amp;searchCorrelationTerm=phosphate%20binders" TargetMode="External"/><Relationship Id="rId119" Type="http://schemas.openxmlformats.org/officeDocument/2006/relationships/hyperlink" Target="https://www.uptodate.com/contents/management-of-hyperphosphatemia-in-adults-with-chronic-kidney-disease/abstract/115?searchCorrelationId=c6976ace-831f-47ea-a050-987e7b2b07ee&amp;searchCorrelationTerm=phosphate%20binders" TargetMode="External"/><Relationship Id="rId44" Type="http://schemas.openxmlformats.org/officeDocument/2006/relationships/hyperlink" Target="https://www.uptodate.com/contents/management-of-hyperphosphatemia-in-adults-with-chronic-kidney-disease/abstract/40?searchCorrelationId=c6976ace-831f-47ea-a050-987e7b2b07ee&amp;searchCorrelationTerm=phosphate%20binders" TargetMode="External"/><Relationship Id="rId60" Type="http://schemas.openxmlformats.org/officeDocument/2006/relationships/hyperlink" Target="https://www.uptodate.com/contents/management-of-hyperphosphatemia-in-adults-with-chronic-kidney-disease/abstract/56?searchCorrelationId=c6976ace-831f-47ea-a050-987e7b2b07ee&amp;searchCorrelationTerm=phosphate%20binders" TargetMode="External"/><Relationship Id="rId65" Type="http://schemas.openxmlformats.org/officeDocument/2006/relationships/hyperlink" Target="https://www.uptodate.com/contents/management-of-hyperphosphatemia-in-adults-with-chronic-kidney-disease/abstract/61?searchCorrelationId=c6976ace-831f-47ea-a050-987e7b2b07ee&amp;searchCorrelationTerm=phosphate%20binders" TargetMode="External"/><Relationship Id="rId81" Type="http://schemas.openxmlformats.org/officeDocument/2006/relationships/hyperlink" Target="https://www.uptodate.com/contents/management-of-hyperphosphatemia-in-adults-with-chronic-kidney-disease/abstract/77?searchCorrelationId=c6976ace-831f-47ea-a050-987e7b2b07ee&amp;searchCorrelationTerm=phosphate%20binders" TargetMode="External"/><Relationship Id="rId86" Type="http://schemas.openxmlformats.org/officeDocument/2006/relationships/hyperlink" Target="https://www.uptodate.com/contents/management-of-hyperphosphatemia-in-adults-with-chronic-kidney-disease/abstract/82?searchCorrelationId=c6976ace-831f-47ea-a050-987e7b2b07ee&amp;searchCorrelationTerm=phosphate%20binders" TargetMode="External"/><Relationship Id="rId13" Type="http://schemas.openxmlformats.org/officeDocument/2006/relationships/hyperlink" Target="https://www.uptodate.com/contents/management-of-hyperphosphatemia-in-adults-with-chronic-kidney-disease/abstract/9?searchCorrelationId=c6976ace-831f-47ea-a050-987e7b2b07ee&amp;searchCorrelationTerm=phosphate%20binders" TargetMode="External"/><Relationship Id="rId18" Type="http://schemas.openxmlformats.org/officeDocument/2006/relationships/hyperlink" Target="https://www.uptodate.com/contents/management-of-hyperphosphatemia-in-adults-with-chronic-kidney-disease/abstract/14?searchCorrelationId=c6976ace-831f-47ea-a050-987e7b2b07ee&amp;searchCorrelationTerm=phosphate%20binders" TargetMode="External"/><Relationship Id="rId39" Type="http://schemas.openxmlformats.org/officeDocument/2006/relationships/hyperlink" Target="https://www.uptodate.com/contents/management-of-hyperphosphatemia-in-adults-with-chronic-kidney-disease/abstract/35?searchCorrelationId=c6976ace-831f-47ea-a050-987e7b2b07ee&amp;searchCorrelationTerm=phosphate%20binders" TargetMode="External"/><Relationship Id="rId109" Type="http://schemas.openxmlformats.org/officeDocument/2006/relationships/hyperlink" Target="https://www.uptodate.com/contents/management-of-hyperphosphatemia-in-adults-with-chronic-kidney-disease/abstract/105?searchCorrelationId=c6976ace-831f-47ea-a050-987e7b2b07ee&amp;searchCorrelationTerm=phosphate%20binders" TargetMode="External"/><Relationship Id="rId34" Type="http://schemas.openxmlformats.org/officeDocument/2006/relationships/hyperlink" Target="https://www.uptodate.com/contents/management-of-hyperphosphatemia-in-adults-with-chronic-kidney-disease/abstract/30?searchCorrelationId=c6976ace-831f-47ea-a050-987e7b2b07ee&amp;searchCorrelationTerm=phosphate%20binders" TargetMode="External"/><Relationship Id="rId50" Type="http://schemas.openxmlformats.org/officeDocument/2006/relationships/hyperlink" Target="https://www.uptodate.com/contents/management-of-hyperphosphatemia-in-adults-with-chronic-kidney-disease/abstract/46?searchCorrelationId=c6976ace-831f-47ea-a050-987e7b2b07ee&amp;searchCorrelationTerm=phosphate%20binders" TargetMode="External"/><Relationship Id="rId55" Type="http://schemas.openxmlformats.org/officeDocument/2006/relationships/hyperlink" Target="https://www.uptodate.com/contents/management-of-hyperphosphatemia-in-adults-with-chronic-kidney-disease/abstract/51?searchCorrelationId=c6976ace-831f-47ea-a050-987e7b2b07ee&amp;searchCorrelationTerm=phosphate%20binders" TargetMode="External"/><Relationship Id="rId76" Type="http://schemas.openxmlformats.org/officeDocument/2006/relationships/hyperlink" Target="https://www.uptodate.com/contents/management-of-hyperphosphatemia-in-adults-with-chronic-kidney-disease/abstract/72?searchCorrelationId=c6976ace-831f-47ea-a050-987e7b2b07ee&amp;searchCorrelationTerm=phosphate%20binders" TargetMode="External"/><Relationship Id="rId97" Type="http://schemas.openxmlformats.org/officeDocument/2006/relationships/hyperlink" Target="https://www.uptodate.com/contents/management-of-hyperphosphatemia-in-adults-with-chronic-kidney-disease/abstract/93?searchCorrelationId=c6976ace-831f-47ea-a050-987e7b2b07ee&amp;searchCorrelationTerm=phosphate%20binders" TargetMode="External"/><Relationship Id="rId104" Type="http://schemas.openxmlformats.org/officeDocument/2006/relationships/hyperlink" Target="https://www.uptodate.com/contents/management-of-hyperphosphatemia-in-adults-with-chronic-kidney-disease/abstract/100?searchCorrelationId=c6976ace-831f-47ea-a050-987e7b2b07ee&amp;searchCorrelationTerm=phosphate%20binders" TargetMode="External"/><Relationship Id="rId120" Type="http://schemas.openxmlformats.org/officeDocument/2006/relationships/hyperlink" Target="https://www.uptodate.com/contents/management-of-hyperphosphatemia-in-adults-with-chronic-kidney-disease/abstract/116?searchCorrelationId=c6976ace-831f-47ea-a050-987e7b2b07ee&amp;searchCorrelationTerm=phosphate%20binders" TargetMode="External"/><Relationship Id="rId125" Type="http://schemas.openxmlformats.org/officeDocument/2006/relationships/hyperlink" Target="https://www.uptodate.com/contents/management-of-hyperphosphatemia-in-adults-with-chronic-kidney-disease/abstract/121?searchCorrelationId=c6976ace-831f-47ea-a050-987e7b2b07ee&amp;searchCorrelationTerm=phosphate%20binders" TargetMode="External"/><Relationship Id="rId7" Type="http://schemas.openxmlformats.org/officeDocument/2006/relationships/hyperlink" Target="https://www.uptodate.com/contents/management-of-hyperphosphatemia-in-adults-with-chronic-kidney-disease/abstract/3?searchCorrelationId=c6976ace-831f-47ea-a050-987e7b2b07ee&amp;searchCorrelationTerm=phosphate%20binders" TargetMode="External"/><Relationship Id="rId71" Type="http://schemas.openxmlformats.org/officeDocument/2006/relationships/hyperlink" Target="https://www.uptodate.com/contents/management-of-hyperphosphatemia-in-adults-with-chronic-kidney-disease/abstract/67?searchCorrelationId=c6976ace-831f-47ea-a050-987e7b2b07ee&amp;searchCorrelationTerm=phosphate%20binders" TargetMode="External"/><Relationship Id="rId92" Type="http://schemas.openxmlformats.org/officeDocument/2006/relationships/hyperlink" Target="https://www.uptodate.com/contents/management-of-hyperphosphatemia-in-adults-with-chronic-kidney-disease/abstract/88?searchCorrelationId=c6976ace-831f-47ea-a050-987e7b2b07ee&amp;searchCorrelationTerm=phosphate%20binders" TargetMode="External"/><Relationship Id="rId2" Type="http://schemas.openxmlformats.org/officeDocument/2006/relationships/styles" Target="styles.xml"/><Relationship Id="rId29" Type="http://schemas.openxmlformats.org/officeDocument/2006/relationships/hyperlink" Target="https://www.uptodate.com/contents/management-of-hyperphosphatemia-in-adults-with-chronic-kidney-disease/abstract/25?searchCorrelationId=c6976ace-831f-47ea-a050-987e7b2b07ee&amp;searchCorrelationTerm=phosphate%20binders" TargetMode="External"/><Relationship Id="rId24" Type="http://schemas.openxmlformats.org/officeDocument/2006/relationships/hyperlink" Target="https://www.uptodate.com/contents/management-of-hyperphosphatemia-in-adults-with-chronic-kidney-disease/abstract/20?searchCorrelationId=c6976ace-831f-47ea-a050-987e7b2b07ee&amp;searchCorrelationTerm=phosphate%20binders" TargetMode="External"/><Relationship Id="rId40" Type="http://schemas.openxmlformats.org/officeDocument/2006/relationships/hyperlink" Target="https://www.uptodate.com/contents/management-of-hyperphosphatemia-in-adults-with-chronic-kidney-disease/abstract/36?searchCorrelationId=c6976ace-831f-47ea-a050-987e7b2b07ee&amp;searchCorrelationTerm=phosphate%20binders" TargetMode="External"/><Relationship Id="rId45" Type="http://schemas.openxmlformats.org/officeDocument/2006/relationships/hyperlink" Target="https://www.uptodate.com/contents/management-of-hyperphosphatemia-in-adults-with-chronic-kidney-disease/abstract/41?searchCorrelationId=c6976ace-831f-47ea-a050-987e7b2b07ee&amp;searchCorrelationTerm=phosphate%20binders" TargetMode="External"/><Relationship Id="rId66" Type="http://schemas.openxmlformats.org/officeDocument/2006/relationships/hyperlink" Target="https://www.uptodate.com/contents/management-of-hyperphosphatemia-in-adults-with-chronic-kidney-disease/abstract/62?searchCorrelationId=c6976ace-831f-47ea-a050-987e7b2b07ee&amp;searchCorrelationTerm=phosphate%20binders" TargetMode="External"/><Relationship Id="rId87" Type="http://schemas.openxmlformats.org/officeDocument/2006/relationships/hyperlink" Target="https://www.uptodate.com/contents/management-of-hyperphosphatemia-in-adults-with-chronic-kidney-disease/abstract/83?searchCorrelationId=c6976ace-831f-47ea-a050-987e7b2b07ee&amp;searchCorrelationTerm=phosphate%20binders" TargetMode="External"/><Relationship Id="rId110" Type="http://schemas.openxmlformats.org/officeDocument/2006/relationships/hyperlink" Target="https://www.uptodate.com/contents/management-of-hyperphosphatemia-in-adults-with-chronic-kidney-disease/abstract/106?searchCorrelationId=c6976ace-831f-47ea-a050-987e7b2b07ee&amp;searchCorrelationTerm=phosphate%20binders" TargetMode="External"/><Relationship Id="rId115" Type="http://schemas.openxmlformats.org/officeDocument/2006/relationships/hyperlink" Target="https://www.uptodate.com/contents/management-of-hyperphosphatemia-in-adults-with-chronic-kidney-disease/abstract/111?searchCorrelationId=c6976ace-831f-47ea-a050-987e7b2b07ee&amp;searchCorrelationTerm=phosphate%20binders" TargetMode="External"/><Relationship Id="rId61" Type="http://schemas.openxmlformats.org/officeDocument/2006/relationships/hyperlink" Target="https://www.uptodate.com/contents/management-of-hyperphosphatemia-in-adults-with-chronic-kidney-disease/abstract/57?searchCorrelationId=c6976ace-831f-47ea-a050-987e7b2b07ee&amp;searchCorrelationTerm=phosphate%20binders" TargetMode="External"/><Relationship Id="rId82" Type="http://schemas.openxmlformats.org/officeDocument/2006/relationships/hyperlink" Target="https://www.uptodate.com/contents/management-of-hyperphosphatemia-in-adults-with-chronic-kidney-disease/abstract/78?searchCorrelationId=c6976ace-831f-47ea-a050-987e7b2b07ee&amp;searchCorrelationTerm=phosphate%20binders" TargetMode="External"/><Relationship Id="rId19" Type="http://schemas.openxmlformats.org/officeDocument/2006/relationships/hyperlink" Target="https://www.uptodate.com/contents/management-of-hyperphosphatemia-in-adults-with-chronic-kidney-disease/abstract/15?searchCorrelationId=c6976ace-831f-47ea-a050-987e7b2b07ee&amp;searchCorrelationTerm=phosphate%20binders" TargetMode="External"/><Relationship Id="rId14" Type="http://schemas.openxmlformats.org/officeDocument/2006/relationships/hyperlink" Target="https://www.uptodate.com/contents/management-of-hyperphosphatemia-in-adults-with-chronic-kidney-disease/abstract/10?searchCorrelationId=c6976ace-831f-47ea-a050-987e7b2b07ee&amp;searchCorrelationTerm=phosphate%20binders" TargetMode="External"/><Relationship Id="rId30" Type="http://schemas.openxmlformats.org/officeDocument/2006/relationships/hyperlink" Target="https://www.uptodate.com/contents/management-of-hyperphosphatemia-in-adults-with-chronic-kidney-disease/abstract/26?searchCorrelationId=c6976ace-831f-47ea-a050-987e7b2b07ee&amp;searchCorrelationTerm=phosphate%20binders" TargetMode="External"/><Relationship Id="rId35" Type="http://schemas.openxmlformats.org/officeDocument/2006/relationships/hyperlink" Target="https://www.uptodate.com/contents/management-of-hyperphosphatemia-in-adults-with-chronic-kidney-disease/abstract/31?searchCorrelationId=c6976ace-831f-47ea-a050-987e7b2b07ee&amp;searchCorrelationTerm=phosphate%20binders" TargetMode="External"/><Relationship Id="rId56" Type="http://schemas.openxmlformats.org/officeDocument/2006/relationships/hyperlink" Target="https://www.uptodate.com/contents/management-of-hyperphosphatemia-in-adults-with-chronic-kidney-disease/abstract/52?searchCorrelationId=c6976ace-831f-47ea-a050-987e7b2b07ee&amp;searchCorrelationTerm=phosphate%20binders" TargetMode="External"/><Relationship Id="rId77" Type="http://schemas.openxmlformats.org/officeDocument/2006/relationships/hyperlink" Target="https://www.uptodate.com/contents/management-of-hyperphosphatemia-in-adults-with-chronic-kidney-disease/abstract/73?searchCorrelationId=c6976ace-831f-47ea-a050-987e7b2b07ee&amp;searchCorrelationTerm=phosphate%20binders" TargetMode="External"/><Relationship Id="rId100" Type="http://schemas.openxmlformats.org/officeDocument/2006/relationships/hyperlink" Target="https://www.uptodate.com/contents/management-of-hyperphosphatemia-in-adults-with-chronic-kidney-disease/abstract/96?searchCorrelationId=c6976ace-831f-47ea-a050-987e7b2b07ee&amp;searchCorrelationTerm=phosphate%20binders" TargetMode="External"/><Relationship Id="rId105" Type="http://schemas.openxmlformats.org/officeDocument/2006/relationships/hyperlink" Target="https://www.uptodate.com/contents/management-of-hyperphosphatemia-in-adults-with-chronic-kidney-disease/abstract/101?searchCorrelationId=c6976ace-831f-47ea-a050-987e7b2b07ee&amp;searchCorrelationTerm=phosphate%20binders" TargetMode="External"/><Relationship Id="rId126" Type="http://schemas.openxmlformats.org/officeDocument/2006/relationships/hyperlink" Target="https://www.uptodate.com/contents/management-of-hyperphosphatemia-in-adults-with-chronic-kidney-disease/abstract/122?searchCorrelationId=c6976ace-831f-47ea-a050-987e7b2b07ee&amp;searchCorrelationTerm=phosphate%20binders" TargetMode="External"/><Relationship Id="rId8" Type="http://schemas.openxmlformats.org/officeDocument/2006/relationships/hyperlink" Target="https://www.uptodate.com/contents/management-of-hyperphosphatemia-in-adults-with-chronic-kidney-disease/abstract/4?searchCorrelationId=c6976ace-831f-47ea-a050-987e7b2b07ee&amp;searchCorrelationTerm=phosphate%20binders" TargetMode="External"/><Relationship Id="rId51" Type="http://schemas.openxmlformats.org/officeDocument/2006/relationships/hyperlink" Target="https://www.uptodate.com/contents/management-of-hyperphosphatemia-in-adults-with-chronic-kidney-disease/abstract/47?searchCorrelationId=c6976ace-831f-47ea-a050-987e7b2b07ee&amp;searchCorrelationTerm=phosphate%20binders" TargetMode="External"/><Relationship Id="rId72" Type="http://schemas.openxmlformats.org/officeDocument/2006/relationships/hyperlink" Target="https://www.uptodate.com/contents/management-of-hyperphosphatemia-in-adults-with-chronic-kidney-disease/abstract/68?searchCorrelationId=c6976ace-831f-47ea-a050-987e7b2b07ee&amp;searchCorrelationTerm=phosphate%20binders" TargetMode="External"/><Relationship Id="rId93" Type="http://schemas.openxmlformats.org/officeDocument/2006/relationships/hyperlink" Target="https://www.uptodate.com/contents/management-of-hyperphosphatemia-in-adults-with-chronic-kidney-disease/abstract/89?searchCorrelationId=c6976ace-831f-47ea-a050-987e7b2b07ee&amp;searchCorrelationTerm=phosphate%20binders" TargetMode="External"/><Relationship Id="rId98" Type="http://schemas.openxmlformats.org/officeDocument/2006/relationships/hyperlink" Target="https://www.uptodate.com/contents/management-of-hyperphosphatemia-in-adults-with-chronic-kidney-disease/abstract/94?searchCorrelationId=c6976ace-831f-47ea-a050-987e7b2b07ee&amp;searchCorrelationTerm=phosphate%20binders" TargetMode="External"/><Relationship Id="rId121" Type="http://schemas.openxmlformats.org/officeDocument/2006/relationships/hyperlink" Target="https://www.uptodate.com/contents/management-of-hyperphosphatemia-in-adults-with-chronic-kidney-disease/abstract/117?searchCorrelationId=c6976ace-831f-47ea-a050-987e7b2b07ee&amp;searchCorrelationTerm=phosphate%20binders" TargetMode="External"/><Relationship Id="rId3" Type="http://schemas.openxmlformats.org/officeDocument/2006/relationships/settings" Target="settings.xml"/><Relationship Id="rId25" Type="http://schemas.openxmlformats.org/officeDocument/2006/relationships/hyperlink" Target="https://www.uptodate.com/contents/management-of-hyperphosphatemia-in-adults-with-chronic-kidney-disease/abstract/21?searchCorrelationId=c6976ace-831f-47ea-a050-987e7b2b07ee&amp;searchCorrelationTerm=phosphate%20binders" TargetMode="External"/><Relationship Id="rId46" Type="http://schemas.openxmlformats.org/officeDocument/2006/relationships/hyperlink" Target="https://www.uptodate.com/contents/management-of-hyperphosphatemia-in-adults-with-chronic-kidney-disease/abstract/42?searchCorrelationId=c6976ace-831f-47ea-a050-987e7b2b07ee&amp;searchCorrelationTerm=phosphate%20binders" TargetMode="External"/><Relationship Id="rId67" Type="http://schemas.openxmlformats.org/officeDocument/2006/relationships/hyperlink" Target="https://www.uptodate.com/contents/management-of-hyperphosphatemia-in-adults-with-chronic-kidney-disease/abstract/63?searchCorrelationId=c6976ace-831f-47ea-a050-987e7b2b07ee&amp;searchCorrelationTerm=phosphate%20binders" TargetMode="External"/><Relationship Id="rId116" Type="http://schemas.openxmlformats.org/officeDocument/2006/relationships/hyperlink" Target="https://www.uptodate.com/contents/management-of-hyperphosphatemia-in-adults-with-chronic-kidney-disease/abstract/112?searchCorrelationId=c6976ace-831f-47ea-a050-987e7b2b07ee&amp;searchCorrelationTerm=phosphate%20binders" TargetMode="External"/><Relationship Id="rId20" Type="http://schemas.openxmlformats.org/officeDocument/2006/relationships/hyperlink" Target="https://www.uptodate.com/contents/management-of-hyperphosphatemia-in-adults-with-chronic-kidney-disease/abstract/16?searchCorrelationId=c6976ace-831f-47ea-a050-987e7b2b07ee&amp;searchCorrelationTerm=phosphate%20binders" TargetMode="External"/><Relationship Id="rId41" Type="http://schemas.openxmlformats.org/officeDocument/2006/relationships/hyperlink" Target="https://www.uptodate.com/contents/management-of-hyperphosphatemia-in-adults-with-chronic-kidney-disease/abstract/37?searchCorrelationId=c6976ace-831f-47ea-a050-987e7b2b07ee&amp;searchCorrelationTerm=phosphate%20binders" TargetMode="External"/><Relationship Id="rId62" Type="http://schemas.openxmlformats.org/officeDocument/2006/relationships/hyperlink" Target="https://www.uptodate.com/contents/management-of-hyperphosphatemia-in-adults-with-chronic-kidney-disease/abstract/58?searchCorrelationId=c6976ace-831f-47ea-a050-987e7b2b07ee&amp;searchCorrelationTerm=phosphate%20binders" TargetMode="External"/><Relationship Id="rId83" Type="http://schemas.openxmlformats.org/officeDocument/2006/relationships/hyperlink" Target="https://www.uptodate.com/contents/management-of-hyperphosphatemia-in-adults-with-chronic-kidney-disease/abstract/79?searchCorrelationId=c6976ace-831f-47ea-a050-987e7b2b07ee&amp;searchCorrelationTerm=phosphate%20binders" TargetMode="External"/><Relationship Id="rId88" Type="http://schemas.openxmlformats.org/officeDocument/2006/relationships/hyperlink" Target="https://www.uptodate.com/contents/management-of-hyperphosphatemia-in-adults-with-chronic-kidney-disease/abstract/84?searchCorrelationId=c6976ace-831f-47ea-a050-987e7b2b07ee&amp;searchCorrelationTerm=phosphate%20binders" TargetMode="External"/><Relationship Id="rId111" Type="http://schemas.openxmlformats.org/officeDocument/2006/relationships/hyperlink" Target="https://www.uptodate.com/contents/management-of-hyperphosphatemia-in-adults-with-chronic-kidney-disease/abstract/107?searchCorrelationId=c6976ace-831f-47ea-a050-987e7b2b07ee&amp;searchCorrelationTerm=phosphate%20binders" TargetMode="External"/><Relationship Id="rId15" Type="http://schemas.openxmlformats.org/officeDocument/2006/relationships/hyperlink" Target="https://www.uptodate.com/contents/management-of-hyperphosphatemia-in-adults-with-chronic-kidney-disease/abstract/11?searchCorrelationId=c6976ace-831f-47ea-a050-987e7b2b07ee&amp;searchCorrelationTerm=phosphate%20binders" TargetMode="External"/><Relationship Id="rId36" Type="http://schemas.openxmlformats.org/officeDocument/2006/relationships/hyperlink" Target="https://www.uptodate.com/contents/management-of-hyperphosphatemia-in-adults-with-chronic-kidney-disease/abstract/32?searchCorrelationId=c6976ace-831f-47ea-a050-987e7b2b07ee&amp;searchCorrelationTerm=phosphate%20binders" TargetMode="External"/><Relationship Id="rId57" Type="http://schemas.openxmlformats.org/officeDocument/2006/relationships/hyperlink" Target="https://www.uptodate.com/contents/management-of-hyperphosphatemia-in-adults-with-chronic-kidney-disease/abstract/53?searchCorrelationId=c6976ace-831f-47ea-a050-987e7b2b07ee&amp;searchCorrelationTerm=phosphate%20binders" TargetMode="External"/><Relationship Id="rId106" Type="http://schemas.openxmlformats.org/officeDocument/2006/relationships/hyperlink" Target="https://www.uptodate.com/contents/management-of-hyperphosphatemia-in-adults-with-chronic-kidney-disease/abstract/102?searchCorrelationId=c6976ace-831f-47ea-a050-987e7b2b07ee&amp;searchCorrelationTerm=phosphate%20binders" TargetMode="External"/><Relationship Id="rId127" Type="http://schemas.openxmlformats.org/officeDocument/2006/relationships/fontTable" Target="fontTable.xml"/><Relationship Id="rId10" Type="http://schemas.openxmlformats.org/officeDocument/2006/relationships/hyperlink" Target="https://www.uptodate.com/contents/management-of-hyperphosphatemia-in-adults-with-chronic-kidney-disease/abstract/6?searchCorrelationId=c6976ace-831f-47ea-a050-987e7b2b07ee&amp;searchCorrelationTerm=phosphate%20binders" TargetMode="External"/><Relationship Id="rId31" Type="http://schemas.openxmlformats.org/officeDocument/2006/relationships/hyperlink" Target="https://www.uptodate.com/contents/management-of-hyperphosphatemia-in-adults-with-chronic-kidney-disease/abstract/27?searchCorrelationId=c6976ace-831f-47ea-a050-987e7b2b07ee&amp;searchCorrelationTerm=phosphate%20binders" TargetMode="External"/><Relationship Id="rId52" Type="http://schemas.openxmlformats.org/officeDocument/2006/relationships/hyperlink" Target="https://www.uptodate.com/contents/management-of-hyperphosphatemia-in-adults-with-chronic-kidney-disease/abstract/48?searchCorrelationId=c6976ace-831f-47ea-a050-987e7b2b07ee&amp;searchCorrelationTerm=phosphate%20binders" TargetMode="External"/><Relationship Id="rId73" Type="http://schemas.openxmlformats.org/officeDocument/2006/relationships/hyperlink" Target="https://www.uptodate.com/contents/management-of-hyperphosphatemia-in-adults-with-chronic-kidney-disease/abstract/69?searchCorrelationId=c6976ace-831f-47ea-a050-987e7b2b07ee&amp;searchCorrelationTerm=phosphate%20binders" TargetMode="External"/><Relationship Id="rId78" Type="http://schemas.openxmlformats.org/officeDocument/2006/relationships/hyperlink" Target="https://www.uptodate.com/contents/management-of-hyperphosphatemia-in-adults-with-chronic-kidney-disease/abstract/74?searchCorrelationId=c6976ace-831f-47ea-a050-987e7b2b07ee&amp;searchCorrelationTerm=phosphate%20binders" TargetMode="External"/><Relationship Id="rId94" Type="http://schemas.openxmlformats.org/officeDocument/2006/relationships/hyperlink" Target="https://www.uptodate.com/contents/management-of-hyperphosphatemia-in-adults-with-chronic-kidney-disease/abstract/90?searchCorrelationId=c6976ace-831f-47ea-a050-987e7b2b07ee&amp;searchCorrelationTerm=phosphate%20binders" TargetMode="External"/><Relationship Id="rId99" Type="http://schemas.openxmlformats.org/officeDocument/2006/relationships/hyperlink" Target="https://www.uptodate.com/contents/management-of-hyperphosphatemia-in-adults-with-chronic-kidney-disease/abstract/95?searchCorrelationId=c6976ace-831f-47ea-a050-987e7b2b07ee&amp;searchCorrelationTerm=phosphate%20binders" TargetMode="External"/><Relationship Id="rId101" Type="http://schemas.openxmlformats.org/officeDocument/2006/relationships/hyperlink" Target="https://www.uptodate.com/contents/management-of-hyperphosphatemia-in-adults-with-chronic-kidney-disease/abstract/97?searchCorrelationId=c6976ace-831f-47ea-a050-987e7b2b07ee&amp;searchCorrelationTerm=phosphate%20binders" TargetMode="External"/><Relationship Id="rId122" Type="http://schemas.openxmlformats.org/officeDocument/2006/relationships/hyperlink" Target="https://www.uptodate.com/contents/management-of-hyperphosphatemia-in-adults-with-chronic-kidney-disease/abstract/118?searchCorrelationId=c6976ace-831f-47ea-a050-987e7b2b07ee&amp;searchCorrelationTerm=phosphate%20binders" TargetMode="External"/><Relationship Id="rId4" Type="http://schemas.openxmlformats.org/officeDocument/2006/relationships/webSettings" Target="webSettings.xml"/><Relationship Id="rId9" Type="http://schemas.openxmlformats.org/officeDocument/2006/relationships/hyperlink" Target="https://www.uptodate.com/contents/management-of-hyperphosphatemia-in-adults-with-chronic-kidney-disease/abstract/5?searchCorrelationId=c6976ace-831f-47ea-a050-987e7b2b07ee&amp;searchCorrelationTerm=phosphate%20binders"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10618</Words>
  <Characters>66899</Characters>
  <Application>Microsoft Office Word</Application>
  <DocSecurity>0</DocSecurity>
  <Lines>557</Lines>
  <Paragraphs>154</Paragraphs>
  <ScaleCrop>false</ScaleCrop>
  <Company/>
  <LinksUpToDate>false</LinksUpToDate>
  <CharactersWithSpaces>77363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11</cp:revision>
  <dcterms:created xsi:type="dcterms:W3CDTF">2026-09-22T20:47:00Z</dcterms:created>
  <dcterms:modified xsi:type="dcterms:W3CDTF">2026-09-23T20:25:00Z</dcterms:modified>
</cp:coreProperties>
</file>