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16BEA" w14:textId="399EA9E3" w:rsidR="00B565AC" w:rsidRDefault="00000000" w:rsidP="000740A8">
      <w:pPr>
        <w:pStyle w:val="Titel"/>
        <w:bidi/>
        <w:spacing w:after="80"/>
      </w:pPr>
      <w:r>
        <w:rPr>
          <w:rFonts w:ascii="Arial" w:hAnsi="Arial" w:cs="Arial"/>
          <w:b/>
          <w:color w:val="17324D"/>
          <w:sz w:val="44"/>
          <w:rtl/>
        </w:rPr>
        <w:t>القثطرة</w:t>
      </w:r>
      <w:r w:rsidR="000740A8">
        <w:rPr>
          <w:rFonts w:ascii="Arial" w:hAnsi="Arial" w:cs="Arial" w:hint="cs"/>
          <w:b/>
          <w:color w:val="17324D"/>
          <w:sz w:val="44"/>
          <w:rtl/>
        </w:rPr>
        <w:t xml:space="preserve"> </w:t>
      </w:r>
      <w:r w:rsidR="000740A8" w:rsidRPr="000740A8">
        <w:rPr>
          <w:rFonts w:ascii="Arial" w:hAnsi="Arial" w:cs="Arial"/>
          <w:b/>
          <w:color w:val="17324D"/>
          <w:sz w:val="44"/>
        </w:rPr>
        <w:t>Vascular Access</w:t>
      </w:r>
    </w:p>
    <w:p w14:paraId="3E15D250" w14:textId="77777777" w:rsidR="00B565AC" w:rsidRDefault="00000000" w:rsidP="000740A8">
      <w:pPr>
        <w:bidi/>
        <w:spacing w:after="240" w:line="283" w:lineRule="auto"/>
      </w:pPr>
      <w:r>
        <w:rPr>
          <w:b/>
          <w:color w:val="149A91"/>
          <w:sz w:val="24"/>
          <w:rtl/>
        </w:rPr>
        <w:t>المدخل الوعائي للغسيل الكلوي المستمر (CKRT)</w:t>
      </w:r>
    </w:p>
    <w:p w14:paraId="66322CE3" w14:textId="77777777" w:rsidR="00B565AC" w:rsidRDefault="00000000" w:rsidP="000740A8">
      <w:pPr>
        <w:pStyle w:val="berschrift1"/>
        <w:bidi/>
        <w:spacing w:after="100" w:line="283" w:lineRule="auto"/>
      </w:pPr>
      <w:r>
        <w:rPr>
          <w:rFonts w:ascii="Arial" w:hAnsi="Arial" w:cs="Arial"/>
          <w:rtl/>
        </w:rPr>
        <w:t>اختيار القثطرة وموقعها</w:t>
      </w:r>
    </w:p>
    <w:p w14:paraId="2CF95D65" w14:textId="797994CD" w:rsidR="000740A8" w:rsidRDefault="00000000" w:rsidP="000740A8">
      <w:pPr>
        <w:bidi/>
        <w:spacing w:after="100" w:line="283" w:lineRule="auto"/>
        <w:rPr>
          <w:color w:val="263746"/>
          <w:rtl/>
        </w:rPr>
      </w:pPr>
      <w:r>
        <w:rPr>
          <w:color w:val="263746"/>
          <w:rtl/>
        </w:rPr>
        <w:t>يحتاج CKRT إلى قثطرة وريدية مركزية مزدوجة اللمعة</w:t>
      </w:r>
      <w:r w:rsidR="000740A8">
        <w:rPr>
          <w:color w:val="263746"/>
          <w:lang w:val="de-DE"/>
        </w:rPr>
        <w:t>dual</w:t>
      </w:r>
      <w:r w:rsidR="000740A8">
        <w:rPr>
          <w:color w:val="263746"/>
        </w:rPr>
        <w:t xml:space="preserve"> lumen catheter e.g. </w:t>
      </w:r>
      <w:proofErr w:type="spellStart"/>
      <w:r w:rsidR="000740A8">
        <w:rPr>
          <w:color w:val="263746"/>
        </w:rPr>
        <w:t>Shaldon</w:t>
      </w:r>
      <w:proofErr w:type="spellEnd"/>
      <w:r w:rsidR="000740A8">
        <w:rPr>
          <w:color w:val="263746"/>
        </w:rPr>
        <w:t xml:space="preserve"> </w:t>
      </w:r>
      <w:r>
        <w:rPr>
          <w:color w:val="263746"/>
          <w:rtl/>
        </w:rPr>
        <w:t xml:space="preserve"> تسمح بتدفق الدم اللازم </w:t>
      </w:r>
      <w:r w:rsidR="000740A8">
        <w:rPr>
          <w:rFonts w:hint="cs"/>
          <w:color w:val="263746"/>
          <w:rtl/>
        </w:rPr>
        <w:t>بكفاءة</w:t>
      </w:r>
      <w:r>
        <w:rPr>
          <w:color w:val="263746"/>
          <w:rtl/>
        </w:rPr>
        <w:t xml:space="preserve">. </w:t>
      </w:r>
    </w:p>
    <w:p w14:paraId="2DF0FAE6" w14:textId="42830BD5" w:rsidR="00B565AC" w:rsidRDefault="00000000" w:rsidP="000740A8">
      <w:pPr>
        <w:bidi/>
        <w:spacing w:after="100" w:line="283" w:lineRule="auto"/>
      </w:pPr>
      <w:r>
        <w:rPr>
          <w:color w:val="263746"/>
          <w:rtl/>
        </w:rPr>
        <w:t>تقترح إرشادات KDIGO ترتيب المواقع الآتي للقثطرة غير النفقية</w:t>
      </w:r>
      <w:r w:rsidR="000740A8">
        <w:rPr>
          <w:rFonts w:hint="cs"/>
          <w:color w:val="263746"/>
          <w:rtl/>
        </w:rPr>
        <w:t xml:space="preserve"> </w:t>
      </w:r>
      <w:proofErr w:type="spellStart"/>
      <w:r w:rsidR="000740A8">
        <w:rPr>
          <w:color w:val="263746"/>
          <w:lang w:val="de-DE"/>
        </w:rPr>
        <w:t>shaldon</w:t>
      </w:r>
      <w:proofErr w:type="spellEnd"/>
      <w:r w:rsidR="000740A8">
        <w:rPr>
          <w:rFonts w:hint="cs"/>
          <w:color w:val="263746"/>
          <w:rtl/>
        </w:rPr>
        <w:t xml:space="preserve"> </w:t>
      </w:r>
      <w:r>
        <w:rPr>
          <w:color w:val="263746"/>
          <w:rtl/>
        </w:rPr>
        <w:t>: الوداجي الداخلي الأيمن، ثم الفخذي، ثم الوداجي الداخلي الأيسر، مع جعل تحت الترقوة</w:t>
      </w:r>
      <w:r w:rsidR="000740A8">
        <w:rPr>
          <w:rFonts w:hint="cs"/>
          <w:color w:val="263746"/>
          <w:rtl/>
        </w:rPr>
        <w:t xml:space="preserve"> </w:t>
      </w:r>
      <w:r w:rsidR="000740A8">
        <w:rPr>
          <w:color w:val="263746"/>
        </w:rPr>
        <w:t xml:space="preserve"> </w:t>
      </w:r>
      <w:r w:rsidR="000740A8" w:rsidRPr="00110337">
        <w:rPr>
          <w:rFonts w:asciiTheme="minorBidi" w:hAnsiTheme="minorBidi"/>
          <w:sz w:val="24"/>
          <w:szCs w:val="24"/>
        </w:rPr>
        <w:t>Subclavian vein</w:t>
      </w:r>
      <w:r>
        <w:rPr>
          <w:color w:val="263746"/>
          <w:rtl/>
        </w:rPr>
        <w:t xml:space="preserve"> خيارًا أخيرًا لتقليل خطر التضيق الوريدي المركزي</w:t>
      </w:r>
      <w:r w:rsidR="000740A8">
        <w:rPr>
          <w:rFonts w:hint="cs"/>
          <w:color w:val="263746"/>
          <w:rtl/>
        </w:rPr>
        <w:t xml:space="preserve">  </w:t>
      </w:r>
      <w:r w:rsidR="000740A8" w:rsidRPr="00110337">
        <w:rPr>
          <w:rFonts w:asciiTheme="minorBidi" w:hAnsiTheme="minorBidi"/>
          <w:sz w:val="24"/>
          <w:szCs w:val="24"/>
        </w:rPr>
        <w:t>Central venous stenosis</w:t>
      </w:r>
      <w:r>
        <w:rPr>
          <w:color w:val="263746"/>
          <w:rtl/>
        </w:rPr>
        <w:t xml:space="preserve"> لدى مرضى AKI [1].</w:t>
      </w:r>
    </w:p>
    <w:tbl>
      <w:tblPr>
        <w:tblStyle w:val="Tabellenraster"/>
        <w:bidiVisual/>
        <w:tblW w:w="0" w:type="auto"/>
        <w:jc w:val="right"/>
        <w:tblLook w:val="04A0" w:firstRow="1" w:lastRow="0" w:firstColumn="1" w:lastColumn="0" w:noHBand="0" w:noVBand="1"/>
      </w:tblPr>
      <w:tblGrid>
        <w:gridCol w:w="5040"/>
        <w:gridCol w:w="5040"/>
      </w:tblGrid>
      <w:tr w:rsidR="00B565AC" w14:paraId="1764B754" w14:textId="77777777">
        <w:trPr>
          <w:jc w:val="right"/>
        </w:trPr>
        <w:tc>
          <w:tcPr>
            <w:tcW w:w="5040" w:type="dxa"/>
            <w:shd w:val="clear" w:color="auto" w:fill="17324D"/>
            <w:vAlign w:val="center"/>
          </w:tcPr>
          <w:p w14:paraId="10D61BC1" w14:textId="77777777" w:rsidR="00B565AC" w:rsidRDefault="00000000" w:rsidP="000740A8">
            <w:pPr>
              <w:bidi/>
            </w:pPr>
            <w:r>
              <w:rPr>
                <w:b/>
                <w:color w:val="FFFFFF"/>
                <w:sz w:val="20"/>
                <w:rtl/>
              </w:rPr>
              <w:t>الترتيب الإرشادي</w:t>
            </w:r>
          </w:p>
        </w:tc>
        <w:tc>
          <w:tcPr>
            <w:tcW w:w="5040" w:type="dxa"/>
            <w:shd w:val="clear" w:color="auto" w:fill="17324D"/>
            <w:vAlign w:val="center"/>
          </w:tcPr>
          <w:p w14:paraId="00F3788F" w14:textId="77777777" w:rsidR="00B565AC" w:rsidRDefault="00000000" w:rsidP="000740A8">
            <w:pPr>
              <w:bidi/>
            </w:pPr>
            <w:r>
              <w:rPr>
                <w:b/>
                <w:color w:val="FFFFFF"/>
                <w:sz w:val="20"/>
                <w:rtl/>
              </w:rPr>
              <w:t>الموقع</w:t>
            </w:r>
          </w:p>
        </w:tc>
      </w:tr>
      <w:tr w:rsidR="00B565AC" w14:paraId="12397934" w14:textId="77777777">
        <w:trPr>
          <w:jc w:val="right"/>
        </w:trPr>
        <w:tc>
          <w:tcPr>
            <w:tcW w:w="5040" w:type="dxa"/>
            <w:shd w:val="clear" w:color="auto" w:fill="F2F6FA"/>
            <w:vAlign w:val="center"/>
          </w:tcPr>
          <w:p w14:paraId="0DD9DFE5" w14:textId="77777777" w:rsidR="00B565AC" w:rsidRDefault="00000000" w:rsidP="000740A8">
            <w:pPr>
              <w:bidi/>
            </w:pPr>
            <w:r>
              <w:rPr>
                <w:color w:val="263746"/>
                <w:sz w:val="20"/>
                <w:rtl/>
              </w:rPr>
              <w:t>1</w:t>
            </w:r>
          </w:p>
        </w:tc>
        <w:tc>
          <w:tcPr>
            <w:tcW w:w="5040" w:type="dxa"/>
            <w:shd w:val="clear" w:color="auto" w:fill="F2F6FA"/>
            <w:vAlign w:val="center"/>
          </w:tcPr>
          <w:p w14:paraId="7A6F1304" w14:textId="77777777" w:rsidR="00B565AC" w:rsidRDefault="00000000" w:rsidP="000740A8">
            <w:pPr>
              <w:bidi/>
            </w:pPr>
            <w:r>
              <w:rPr>
                <w:color w:val="263746"/>
                <w:sz w:val="20"/>
                <w:rtl/>
              </w:rPr>
              <w:t>الوداجي الداخلي الأيمن</w:t>
            </w:r>
          </w:p>
        </w:tc>
      </w:tr>
      <w:tr w:rsidR="00B565AC" w14:paraId="374207A7" w14:textId="77777777">
        <w:trPr>
          <w:jc w:val="right"/>
        </w:trPr>
        <w:tc>
          <w:tcPr>
            <w:tcW w:w="5040" w:type="dxa"/>
            <w:vAlign w:val="center"/>
          </w:tcPr>
          <w:p w14:paraId="41EB7B9C" w14:textId="77777777" w:rsidR="00B565AC" w:rsidRDefault="00000000" w:rsidP="000740A8">
            <w:pPr>
              <w:bidi/>
            </w:pPr>
            <w:r>
              <w:rPr>
                <w:color w:val="263746"/>
                <w:sz w:val="20"/>
                <w:rtl/>
              </w:rPr>
              <w:t>2</w:t>
            </w:r>
          </w:p>
        </w:tc>
        <w:tc>
          <w:tcPr>
            <w:tcW w:w="5040" w:type="dxa"/>
            <w:vAlign w:val="center"/>
          </w:tcPr>
          <w:p w14:paraId="01F1E099" w14:textId="77777777" w:rsidR="00B565AC" w:rsidRDefault="00000000" w:rsidP="000740A8">
            <w:pPr>
              <w:bidi/>
            </w:pPr>
            <w:r>
              <w:rPr>
                <w:color w:val="263746"/>
                <w:sz w:val="20"/>
                <w:rtl/>
              </w:rPr>
              <w:t>الفخذي</w:t>
            </w:r>
          </w:p>
        </w:tc>
      </w:tr>
      <w:tr w:rsidR="00B565AC" w14:paraId="34560309" w14:textId="77777777">
        <w:trPr>
          <w:jc w:val="right"/>
        </w:trPr>
        <w:tc>
          <w:tcPr>
            <w:tcW w:w="5040" w:type="dxa"/>
            <w:shd w:val="clear" w:color="auto" w:fill="F2F6FA"/>
            <w:vAlign w:val="center"/>
          </w:tcPr>
          <w:p w14:paraId="7B2C62BD" w14:textId="77777777" w:rsidR="00B565AC" w:rsidRDefault="00000000" w:rsidP="000740A8">
            <w:pPr>
              <w:bidi/>
            </w:pPr>
            <w:r>
              <w:rPr>
                <w:color w:val="263746"/>
                <w:sz w:val="20"/>
                <w:rtl/>
              </w:rPr>
              <w:t>3</w:t>
            </w:r>
          </w:p>
        </w:tc>
        <w:tc>
          <w:tcPr>
            <w:tcW w:w="5040" w:type="dxa"/>
            <w:shd w:val="clear" w:color="auto" w:fill="F2F6FA"/>
            <w:vAlign w:val="center"/>
          </w:tcPr>
          <w:p w14:paraId="70D4F208" w14:textId="77777777" w:rsidR="00B565AC" w:rsidRDefault="00000000" w:rsidP="000740A8">
            <w:pPr>
              <w:bidi/>
            </w:pPr>
            <w:r>
              <w:rPr>
                <w:color w:val="263746"/>
                <w:sz w:val="20"/>
                <w:rtl/>
              </w:rPr>
              <w:t>الوداجي الداخلي الأيسر</w:t>
            </w:r>
          </w:p>
        </w:tc>
      </w:tr>
      <w:tr w:rsidR="00B565AC" w14:paraId="63371079" w14:textId="77777777">
        <w:trPr>
          <w:jc w:val="right"/>
        </w:trPr>
        <w:tc>
          <w:tcPr>
            <w:tcW w:w="5040" w:type="dxa"/>
            <w:vAlign w:val="center"/>
          </w:tcPr>
          <w:p w14:paraId="62BF39EC" w14:textId="77777777" w:rsidR="00B565AC" w:rsidRDefault="00000000" w:rsidP="000740A8">
            <w:pPr>
              <w:bidi/>
            </w:pPr>
            <w:r>
              <w:rPr>
                <w:color w:val="263746"/>
                <w:sz w:val="20"/>
                <w:rtl/>
              </w:rPr>
              <w:t>4</w:t>
            </w:r>
          </w:p>
        </w:tc>
        <w:tc>
          <w:tcPr>
            <w:tcW w:w="5040" w:type="dxa"/>
            <w:vAlign w:val="center"/>
          </w:tcPr>
          <w:p w14:paraId="5D1E01C7" w14:textId="77777777" w:rsidR="00B565AC" w:rsidRDefault="00000000" w:rsidP="000740A8">
            <w:pPr>
              <w:bidi/>
            </w:pPr>
            <w:r>
              <w:rPr>
                <w:color w:val="263746"/>
                <w:sz w:val="20"/>
                <w:rtl/>
              </w:rPr>
              <w:t>تحت الترقوة؛ خيار أخير</w:t>
            </w:r>
          </w:p>
        </w:tc>
      </w:tr>
    </w:tbl>
    <w:p w14:paraId="527FE259" w14:textId="77777777" w:rsidR="00B565AC" w:rsidRDefault="00000000" w:rsidP="000740A8">
      <w:pPr>
        <w:pStyle w:val="berschrift1"/>
        <w:bidi/>
        <w:spacing w:after="100" w:line="283" w:lineRule="auto"/>
      </w:pPr>
      <w:r>
        <w:rPr>
          <w:rFonts w:ascii="Arial" w:hAnsi="Arial" w:cs="Arial"/>
          <w:rtl/>
        </w:rPr>
        <w:t>الإدخال والعناية</w:t>
      </w:r>
    </w:p>
    <w:p w14:paraId="0F1B5BDC" w14:textId="77777777" w:rsidR="00B565AC" w:rsidRDefault="00000000" w:rsidP="000740A8">
      <w:pPr>
        <w:bidi/>
        <w:spacing w:after="100" w:line="283" w:lineRule="auto"/>
      </w:pPr>
      <w:r>
        <w:rPr>
          <w:color w:val="263746"/>
          <w:rtl/>
        </w:rPr>
        <w:t>توصي إرشادات KDIGO باستخدام الموجات فوق الصوتية عند إدخال القثطرة في الوريد الوداجي الداخلي أو الفخذي. تُطبق احتياطات مكافحة العدوى والعناية بالقثطرة وفق بروتوكول المؤسسة والإرشادات المعتمدة [1،3].</w:t>
      </w:r>
    </w:p>
    <w:p w14:paraId="279FAD23" w14:textId="77777777" w:rsidR="00B565AC" w:rsidRDefault="00000000" w:rsidP="000740A8">
      <w:pPr>
        <w:bidi/>
        <w:spacing w:after="100" w:line="283" w:lineRule="auto"/>
      </w:pPr>
      <w:r>
        <w:rPr>
          <w:color w:val="263746"/>
          <w:rtl/>
        </w:rPr>
        <w:t>يُختار حجم القثطرة وطولها ومعدل التدفق وفق موقع الإدخال ووصفة CKRT والجهاز، وتُتحقق وظيفة كل لمعة قبل بدء العلاج.</w:t>
      </w:r>
    </w:p>
    <w:p w14:paraId="33C1E39E" w14:textId="77777777" w:rsidR="00B565AC" w:rsidRDefault="00000000" w:rsidP="000740A8">
      <w:pPr>
        <w:pStyle w:val="berschrift1"/>
        <w:bidi/>
        <w:spacing w:after="100" w:line="283" w:lineRule="auto"/>
      </w:pPr>
      <w:r>
        <w:rPr>
          <w:rFonts w:ascii="Arial" w:hAnsi="Arial" w:cs="Arial"/>
          <w:rtl/>
        </w:rPr>
        <w:t>الوريدي الوداجي مقابل الفخذي</w:t>
      </w:r>
    </w:p>
    <w:p w14:paraId="3045FE50" w14:textId="6B7724F8" w:rsidR="00B565AC" w:rsidRDefault="00000000" w:rsidP="000740A8">
      <w:pPr>
        <w:bidi/>
        <w:spacing w:after="100" w:line="283" w:lineRule="auto"/>
      </w:pPr>
      <w:r>
        <w:rPr>
          <w:color w:val="263746"/>
          <w:rtl/>
        </w:rPr>
        <w:t>في تجربة CATHEDIA العشوائية التي شملت 750 مريضا</w:t>
      </w:r>
      <w:r w:rsidR="000740A8">
        <w:rPr>
          <w:rFonts w:hint="cs"/>
          <w:color w:val="263746"/>
          <w:rtl/>
        </w:rPr>
        <w:t>ً</w:t>
      </w:r>
      <w:r>
        <w:rPr>
          <w:color w:val="263746"/>
          <w:rtl/>
        </w:rPr>
        <w:t>، لم يختلف معدل استعمار القثطرة إجمالًا على نحو ذي دلالة بين الموقعين، وكانت معدلات عدوى مجرى الدم المرتبطة بالقثطرة متقاربة. وظهر اختلاف بحسب مؤشر كتلة الجسم في تحليل مجموعة فرعية: كان استعمار القثطرة أقل مع الموقع الفخذي لدى ذوي BMI أقل من 24.2، وأقل مع الموقع الوداجي لدى ذوي BMI أعلى من 28.4. هذه نتائج تجربة ومجموعة فرعية؛ ويُوازن اختيار الموقع أيضًا مع عوامل المريض وخبرة الفريق [2].</w:t>
      </w:r>
    </w:p>
    <w:p w14:paraId="083A1BB5" w14:textId="665D587E" w:rsidR="00B565AC" w:rsidRDefault="00000000" w:rsidP="000740A8">
      <w:pPr>
        <w:pStyle w:val="berschrift1"/>
        <w:bidi/>
        <w:spacing w:after="100" w:line="283" w:lineRule="auto"/>
      </w:pPr>
      <w:r>
        <w:rPr>
          <w:rFonts w:ascii="Arial" w:hAnsi="Arial" w:cs="Arial"/>
          <w:rtl/>
        </w:rPr>
        <w:t>قثاطر الناسور والطعم الوعائي</w:t>
      </w:r>
      <w:r w:rsidR="000740A8">
        <w:rPr>
          <w:rFonts w:ascii="Arial" w:hAnsi="Arial" w:cs="Arial" w:hint="cs"/>
          <w:rtl/>
        </w:rPr>
        <w:t xml:space="preserve"> (الفيستولا أو الشنت)</w:t>
      </w:r>
    </w:p>
    <w:p w14:paraId="38459DA9" w14:textId="0AEDE5F8" w:rsidR="00B565AC" w:rsidRDefault="00000000" w:rsidP="000740A8">
      <w:pPr>
        <w:bidi/>
        <w:spacing w:after="100" w:line="283" w:lineRule="auto"/>
      </w:pPr>
      <w:r>
        <w:rPr>
          <w:color w:val="263746"/>
          <w:rtl/>
        </w:rPr>
        <w:t xml:space="preserve">يتطلب استخدام الناسور الشرياني الوريدي أو الطعم الوعائي للوصول إلى CKRT احتياطات خاصة لحماية المدخل الوعائي وتقليل مخاطر النزف أو الخثار أو أذية </w:t>
      </w:r>
      <w:r w:rsidR="000740A8">
        <w:rPr>
          <w:rFonts w:hint="cs"/>
          <w:color w:val="263746"/>
          <w:rtl/>
        </w:rPr>
        <w:t>الشنت</w:t>
      </w:r>
      <w:r>
        <w:rPr>
          <w:color w:val="263746"/>
          <w:rtl/>
        </w:rPr>
        <w:t>. يُتخذ قرار استخدامها على أساس حالة المدخل وتقييم الفريق، ولا تُعامل كبديل روتيني للقثطرة المركزية [1].</w:t>
      </w:r>
    </w:p>
    <w:p w14:paraId="57305B31" w14:textId="77777777" w:rsidR="00B90618" w:rsidRDefault="00B90618" w:rsidP="000740A8">
      <w:pPr>
        <w:bidi/>
        <w:spacing w:after="100" w:line="283" w:lineRule="auto"/>
        <w:rPr>
          <w:b/>
          <w:bCs/>
          <w:color w:val="17365D" w:themeColor="text2" w:themeShade="BF"/>
          <w:sz w:val="24"/>
          <w:szCs w:val="24"/>
          <w:rtl/>
        </w:rPr>
      </w:pPr>
    </w:p>
    <w:p w14:paraId="7103FB35" w14:textId="168A6AD0" w:rsidR="00B90618" w:rsidRPr="00B90618" w:rsidRDefault="00B90618" w:rsidP="00B90618">
      <w:pPr>
        <w:bidi/>
        <w:spacing w:after="100" w:line="283" w:lineRule="auto"/>
        <w:rPr>
          <w:b/>
          <w:bCs/>
          <w:color w:val="17365D" w:themeColor="text2" w:themeShade="BF"/>
          <w:sz w:val="24"/>
          <w:szCs w:val="24"/>
          <w:rtl/>
        </w:rPr>
      </w:pPr>
      <w:r w:rsidRPr="00B90618">
        <w:rPr>
          <w:b/>
          <w:bCs/>
          <w:color w:val="17365D" w:themeColor="text2" w:themeShade="BF"/>
          <w:sz w:val="24"/>
          <w:szCs w:val="24"/>
          <w:rtl/>
        </w:rPr>
        <w:t xml:space="preserve">محلول إغلاق القثطرة والتبديل </w:t>
      </w:r>
      <w:r w:rsidRPr="00B90618">
        <w:rPr>
          <w:b/>
          <w:bCs/>
          <w:color w:val="17365D" w:themeColor="text2" w:themeShade="BF"/>
          <w:sz w:val="24"/>
          <w:szCs w:val="24"/>
        </w:rPr>
        <w:t>Catheter-Locking Solutions</w:t>
      </w:r>
    </w:p>
    <w:p w14:paraId="578440DE" w14:textId="52B47BF3" w:rsidR="00B565AC" w:rsidRPr="000740A8" w:rsidRDefault="00000000" w:rsidP="00B90618">
      <w:pPr>
        <w:bidi/>
        <w:spacing w:after="100" w:line="283" w:lineRule="auto"/>
        <w:rPr>
          <w:rtl/>
        </w:rPr>
      </w:pPr>
      <w:r w:rsidRPr="000740A8">
        <w:rPr>
          <w:rtl/>
        </w:rPr>
        <w:t>يُحدد محلول إغلاق القثطرة بحسب نوعها وتركيز القفل المعتمد وتعليمات المؤسسة. لا يُستنتج من تجربة مضاد التخثر داخل الدارة أن محلول قفل القثطرة هو نفسه أو أن له الأثر السريري ذاته [1].</w:t>
      </w:r>
    </w:p>
    <w:p w14:paraId="71E7E8B3" w14:textId="77777777" w:rsidR="000740A8" w:rsidRPr="000740A8" w:rsidRDefault="000740A8" w:rsidP="000740A8">
      <w:pPr>
        <w:bidi/>
        <w:spacing w:after="0"/>
        <w:rPr>
          <w:rFonts w:asciiTheme="minorBidi" w:hAnsiTheme="minorBidi"/>
          <w:sz w:val="24"/>
          <w:szCs w:val="24"/>
          <w:rtl/>
        </w:rPr>
      </w:pPr>
      <w:r w:rsidRPr="000740A8">
        <w:rPr>
          <w:rFonts w:asciiTheme="minorBidi" w:hAnsiTheme="minorBidi"/>
          <w:sz w:val="24"/>
          <w:szCs w:val="24"/>
          <w:rtl/>
        </w:rPr>
        <w:t>يمكن استخدام</w:t>
      </w:r>
      <w:r w:rsidRPr="000740A8">
        <w:rPr>
          <w:rFonts w:asciiTheme="minorBidi" w:hAnsiTheme="minorBidi" w:hint="cs"/>
          <w:sz w:val="24"/>
          <w:szCs w:val="24"/>
          <w:rtl/>
        </w:rPr>
        <w:t xml:space="preserve"> </w:t>
      </w:r>
      <w:r w:rsidRPr="000740A8">
        <w:rPr>
          <w:rFonts w:asciiTheme="minorBidi" w:hAnsiTheme="minorBidi"/>
          <w:sz w:val="24"/>
          <w:szCs w:val="24"/>
          <w:rtl/>
        </w:rPr>
        <w:t>الهيبارين</w:t>
      </w:r>
      <w:r w:rsidRPr="000740A8">
        <w:rPr>
          <w:rFonts w:asciiTheme="minorBidi" w:hAnsiTheme="minorBidi" w:hint="cs"/>
          <w:sz w:val="24"/>
          <w:szCs w:val="24"/>
          <w:rtl/>
        </w:rPr>
        <w:t xml:space="preserve"> </w:t>
      </w:r>
      <w:r w:rsidRPr="000740A8">
        <w:rPr>
          <w:rFonts w:asciiTheme="minorBidi" w:hAnsiTheme="minorBidi"/>
          <w:sz w:val="24"/>
          <w:szCs w:val="24"/>
          <w:rtl/>
        </w:rPr>
        <w:t>أو سترات ثلاثي الصوديوم</w:t>
      </w:r>
      <w:r w:rsidRPr="000740A8">
        <w:rPr>
          <w:rFonts w:asciiTheme="minorBidi" w:hAnsiTheme="minorBidi" w:hint="cs"/>
          <w:sz w:val="24"/>
          <w:szCs w:val="24"/>
          <w:rtl/>
        </w:rPr>
        <w:t xml:space="preserve"> </w:t>
      </w:r>
      <w:r w:rsidRPr="000740A8">
        <w:rPr>
          <w:rFonts w:asciiTheme="minorBidi" w:hAnsiTheme="minorBidi"/>
          <w:sz w:val="24"/>
          <w:szCs w:val="24"/>
        </w:rPr>
        <w:t>(Trisodium citrate)</w:t>
      </w:r>
      <w:r w:rsidRPr="000740A8">
        <w:rPr>
          <w:rFonts w:asciiTheme="minorBidi" w:hAnsiTheme="minorBidi" w:hint="cs"/>
          <w:sz w:val="24"/>
          <w:szCs w:val="24"/>
          <w:rtl/>
        </w:rPr>
        <w:t xml:space="preserve"> </w:t>
      </w:r>
      <w:r w:rsidRPr="000740A8">
        <w:rPr>
          <w:rFonts w:asciiTheme="minorBidi" w:hAnsiTheme="minorBidi"/>
          <w:sz w:val="24"/>
          <w:szCs w:val="24"/>
          <w:rtl/>
        </w:rPr>
        <w:t>كمحاليل لإغلاق القثطار بعد إدخاله وقبل بدء</w:t>
      </w:r>
      <w:r w:rsidRPr="000740A8">
        <w:rPr>
          <w:rFonts w:asciiTheme="minorBidi" w:hAnsiTheme="minorBidi"/>
          <w:sz w:val="24"/>
          <w:szCs w:val="24"/>
        </w:rPr>
        <w:t xml:space="preserve"> CKRT </w:t>
      </w:r>
      <w:r w:rsidRPr="000740A8">
        <w:rPr>
          <w:rFonts w:asciiTheme="minorBidi" w:hAnsiTheme="minorBidi"/>
          <w:sz w:val="24"/>
          <w:szCs w:val="24"/>
          <w:rtl/>
        </w:rPr>
        <w:t>أو أثناء فترات انقطاع العلاج</w:t>
      </w:r>
      <w:r w:rsidRPr="000740A8">
        <w:rPr>
          <w:rFonts w:asciiTheme="minorBidi" w:hAnsiTheme="minorBidi"/>
          <w:sz w:val="24"/>
          <w:szCs w:val="24"/>
        </w:rPr>
        <w:t>.</w:t>
      </w:r>
    </w:p>
    <w:p w14:paraId="03E08FED" w14:textId="7CF79D5F" w:rsidR="000740A8" w:rsidRPr="000740A8" w:rsidRDefault="000740A8" w:rsidP="00B90618">
      <w:pPr>
        <w:bidi/>
        <w:spacing w:after="0"/>
        <w:rPr>
          <w:rFonts w:asciiTheme="minorBidi" w:hAnsiTheme="minorBidi"/>
          <w:sz w:val="24"/>
          <w:szCs w:val="24"/>
          <w:rtl/>
        </w:rPr>
      </w:pPr>
      <w:r w:rsidRPr="000740A8">
        <w:rPr>
          <w:rFonts w:asciiTheme="minorBidi" w:hAnsiTheme="minorBidi"/>
          <w:sz w:val="24"/>
          <w:szCs w:val="24"/>
          <w:rtl/>
        </w:rPr>
        <w:t>وتشير الدراسات إلى أن سترات ثلاثي الصوديوم تتفوق على الهيبارين لأنها ترتبط بانخفاض معدلات</w:t>
      </w:r>
      <w:r w:rsidR="00B90618">
        <w:rPr>
          <w:rFonts w:asciiTheme="minorBidi" w:hAnsiTheme="minorBidi" w:hint="cs"/>
          <w:sz w:val="24"/>
          <w:szCs w:val="24"/>
          <w:rtl/>
        </w:rPr>
        <w:t xml:space="preserve"> </w:t>
      </w:r>
      <w:r w:rsidRPr="000740A8">
        <w:rPr>
          <w:rFonts w:asciiTheme="minorBidi" w:hAnsiTheme="minorBidi"/>
          <w:sz w:val="24"/>
          <w:szCs w:val="24"/>
          <w:rtl/>
        </w:rPr>
        <w:t>النزف</w:t>
      </w:r>
      <w:r w:rsidR="00B90618">
        <w:rPr>
          <w:rFonts w:asciiTheme="minorBidi" w:hAnsiTheme="minorBidi" w:hint="cs"/>
          <w:sz w:val="24"/>
          <w:szCs w:val="24"/>
          <w:rtl/>
        </w:rPr>
        <w:t xml:space="preserve"> ، و </w:t>
      </w:r>
      <w:r w:rsidRPr="000740A8">
        <w:rPr>
          <w:rFonts w:asciiTheme="minorBidi" w:hAnsiTheme="minorBidi"/>
          <w:sz w:val="24"/>
          <w:szCs w:val="24"/>
          <w:rtl/>
        </w:rPr>
        <w:t>الخثار</w:t>
      </w:r>
      <w:r w:rsidR="00B90618">
        <w:rPr>
          <w:rFonts w:asciiTheme="minorBidi" w:hAnsiTheme="minorBidi" w:hint="cs"/>
          <w:sz w:val="24"/>
          <w:szCs w:val="24"/>
          <w:rtl/>
        </w:rPr>
        <w:t xml:space="preserve"> </w:t>
      </w:r>
      <w:r w:rsidRPr="000740A8">
        <w:rPr>
          <w:rFonts w:asciiTheme="minorBidi" w:hAnsiTheme="minorBidi"/>
          <w:sz w:val="24"/>
          <w:szCs w:val="24"/>
          <w:rtl/>
        </w:rPr>
        <w:t>والعدوى</w:t>
      </w:r>
      <w:r w:rsidRPr="000740A8">
        <w:rPr>
          <w:rFonts w:asciiTheme="minorBidi" w:hAnsiTheme="minorBidi"/>
          <w:sz w:val="24"/>
          <w:szCs w:val="24"/>
        </w:rPr>
        <w:t>.</w:t>
      </w:r>
    </w:p>
    <w:p w14:paraId="28190D92" w14:textId="77777777" w:rsidR="000740A8" w:rsidRPr="000740A8" w:rsidRDefault="000740A8" w:rsidP="000740A8">
      <w:pPr>
        <w:bidi/>
        <w:spacing w:after="0"/>
        <w:rPr>
          <w:rFonts w:asciiTheme="minorBidi" w:hAnsiTheme="minorBidi"/>
          <w:sz w:val="24"/>
          <w:szCs w:val="24"/>
          <w:rtl/>
        </w:rPr>
      </w:pPr>
      <w:r w:rsidRPr="000740A8">
        <w:rPr>
          <w:rFonts w:asciiTheme="minorBidi" w:hAnsiTheme="minorBidi"/>
          <w:sz w:val="24"/>
          <w:szCs w:val="24"/>
          <w:rtl/>
        </w:rPr>
        <w:t>ولا يُوصى بالاستخدام الروتيني لـ</w:t>
      </w:r>
      <w:r w:rsidRPr="000740A8">
        <w:rPr>
          <w:rFonts w:asciiTheme="minorBidi" w:hAnsiTheme="minorBidi"/>
          <w:sz w:val="24"/>
          <w:szCs w:val="24"/>
        </w:rPr>
        <w:t>:</w:t>
      </w:r>
    </w:p>
    <w:p w14:paraId="642A5AED" w14:textId="77777777" w:rsidR="000740A8" w:rsidRPr="000740A8" w:rsidRDefault="000740A8" w:rsidP="000740A8">
      <w:pPr>
        <w:bidi/>
        <w:spacing w:after="0"/>
        <w:rPr>
          <w:rFonts w:asciiTheme="minorBidi" w:hAnsiTheme="minorBidi"/>
          <w:sz w:val="24"/>
          <w:szCs w:val="24"/>
          <w:rtl/>
        </w:rPr>
      </w:pPr>
      <w:r w:rsidRPr="000740A8">
        <w:rPr>
          <w:rFonts w:asciiTheme="minorBidi" w:hAnsiTheme="minorBidi" w:hint="cs"/>
          <w:sz w:val="24"/>
          <w:szCs w:val="24"/>
          <w:rtl/>
        </w:rPr>
        <w:t xml:space="preserve">ـ </w:t>
      </w:r>
      <w:r w:rsidRPr="000740A8">
        <w:rPr>
          <w:rFonts w:asciiTheme="minorBidi" w:hAnsiTheme="minorBidi"/>
          <w:sz w:val="24"/>
          <w:szCs w:val="24"/>
          <w:rtl/>
        </w:rPr>
        <w:t>القثاطر المشبعة بالمضادات الحيوية</w:t>
      </w:r>
      <w:r w:rsidRPr="000740A8">
        <w:rPr>
          <w:rFonts w:asciiTheme="minorBidi" w:hAnsiTheme="minorBidi"/>
          <w:sz w:val="24"/>
          <w:szCs w:val="24"/>
        </w:rPr>
        <w:t>.</w:t>
      </w:r>
    </w:p>
    <w:p w14:paraId="47EF1B7A" w14:textId="77777777" w:rsidR="000740A8" w:rsidRPr="000740A8" w:rsidRDefault="000740A8" w:rsidP="000740A8">
      <w:pPr>
        <w:bidi/>
        <w:spacing w:after="0"/>
        <w:rPr>
          <w:rFonts w:asciiTheme="minorBidi" w:hAnsiTheme="minorBidi"/>
          <w:sz w:val="24"/>
          <w:szCs w:val="24"/>
          <w:rtl/>
        </w:rPr>
      </w:pPr>
      <w:r w:rsidRPr="000740A8">
        <w:rPr>
          <w:rFonts w:asciiTheme="minorBidi" w:hAnsiTheme="minorBidi" w:hint="cs"/>
          <w:sz w:val="24"/>
          <w:szCs w:val="24"/>
          <w:rtl/>
        </w:rPr>
        <w:t xml:space="preserve">ـ </w:t>
      </w:r>
      <w:r w:rsidRPr="000740A8">
        <w:rPr>
          <w:rFonts w:asciiTheme="minorBidi" w:hAnsiTheme="minorBidi"/>
          <w:sz w:val="24"/>
          <w:szCs w:val="24"/>
          <w:rtl/>
        </w:rPr>
        <w:t>المضادات الحيوية الموضعية</w:t>
      </w:r>
      <w:r w:rsidRPr="000740A8">
        <w:rPr>
          <w:rFonts w:asciiTheme="minorBidi" w:hAnsiTheme="minorBidi"/>
          <w:sz w:val="24"/>
          <w:szCs w:val="24"/>
        </w:rPr>
        <w:t>.</w:t>
      </w:r>
    </w:p>
    <w:p w14:paraId="3AFDE7F2" w14:textId="77777777" w:rsidR="000740A8" w:rsidRPr="000740A8" w:rsidRDefault="000740A8" w:rsidP="000740A8">
      <w:pPr>
        <w:bidi/>
        <w:spacing w:after="0"/>
        <w:rPr>
          <w:rFonts w:asciiTheme="minorBidi" w:hAnsiTheme="minorBidi"/>
          <w:sz w:val="24"/>
          <w:szCs w:val="24"/>
          <w:rtl/>
        </w:rPr>
      </w:pPr>
      <w:r w:rsidRPr="000740A8">
        <w:rPr>
          <w:rFonts w:asciiTheme="minorBidi" w:hAnsiTheme="minorBidi" w:hint="cs"/>
          <w:sz w:val="24"/>
          <w:szCs w:val="24"/>
          <w:rtl/>
        </w:rPr>
        <w:lastRenderedPageBreak/>
        <w:t xml:space="preserve">ـ </w:t>
      </w:r>
      <w:r w:rsidRPr="000740A8">
        <w:rPr>
          <w:rFonts w:asciiTheme="minorBidi" w:hAnsiTheme="minorBidi"/>
          <w:sz w:val="24"/>
          <w:szCs w:val="24"/>
          <w:rtl/>
        </w:rPr>
        <w:t>أو محاليل إغلاق القثط</w:t>
      </w:r>
      <w:r w:rsidRPr="000740A8">
        <w:rPr>
          <w:rFonts w:asciiTheme="minorBidi" w:hAnsiTheme="minorBidi" w:hint="cs"/>
          <w:sz w:val="24"/>
          <w:szCs w:val="24"/>
          <w:rtl/>
        </w:rPr>
        <w:t>رة</w:t>
      </w:r>
      <w:r w:rsidRPr="000740A8">
        <w:rPr>
          <w:rFonts w:asciiTheme="minorBidi" w:hAnsiTheme="minorBidi"/>
          <w:sz w:val="24"/>
          <w:szCs w:val="24"/>
          <w:rtl/>
        </w:rPr>
        <w:t xml:space="preserve"> المحتوية على مضادات حيوية</w:t>
      </w:r>
      <w:r w:rsidRPr="000740A8">
        <w:rPr>
          <w:rFonts w:asciiTheme="minorBidi" w:hAnsiTheme="minorBidi"/>
          <w:sz w:val="24"/>
          <w:szCs w:val="24"/>
        </w:rPr>
        <w:t>.</w:t>
      </w:r>
    </w:p>
    <w:p w14:paraId="39B7F379" w14:textId="77777777" w:rsidR="000740A8" w:rsidRPr="000740A8" w:rsidRDefault="000740A8" w:rsidP="000740A8">
      <w:pPr>
        <w:bidi/>
        <w:spacing w:after="0"/>
        <w:rPr>
          <w:rFonts w:asciiTheme="minorBidi" w:hAnsiTheme="minorBidi"/>
          <w:sz w:val="24"/>
          <w:szCs w:val="24"/>
          <w:rtl/>
        </w:rPr>
      </w:pPr>
      <w:r w:rsidRPr="000740A8">
        <w:rPr>
          <w:rFonts w:asciiTheme="minorBidi" w:hAnsiTheme="minorBidi"/>
          <w:sz w:val="24"/>
          <w:szCs w:val="24"/>
          <w:rtl/>
        </w:rPr>
        <w:t>وذلك لأنها قد تعزز</w:t>
      </w:r>
      <w:r w:rsidRPr="000740A8">
        <w:rPr>
          <w:rFonts w:asciiTheme="minorBidi" w:hAnsiTheme="minorBidi"/>
          <w:sz w:val="24"/>
          <w:szCs w:val="24"/>
        </w:rPr>
        <w:t>:</w:t>
      </w:r>
    </w:p>
    <w:p w14:paraId="61044A83" w14:textId="77777777" w:rsidR="000740A8" w:rsidRPr="000740A8" w:rsidRDefault="000740A8" w:rsidP="000740A8">
      <w:pPr>
        <w:bidi/>
        <w:spacing w:after="0"/>
        <w:rPr>
          <w:rFonts w:asciiTheme="minorBidi" w:hAnsiTheme="minorBidi"/>
          <w:sz w:val="24"/>
          <w:szCs w:val="24"/>
          <w:rtl/>
        </w:rPr>
      </w:pPr>
      <w:r w:rsidRPr="000740A8">
        <w:rPr>
          <w:rFonts w:asciiTheme="minorBidi" w:hAnsiTheme="minorBidi" w:hint="cs"/>
          <w:sz w:val="24"/>
          <w:szCs w:val="24"/>
          <w:rtl/>
        </w:rPr>
        <w:t xml:space="preserve">ـ </w:t>
      </w:r>
      <w:r w:rsidRPr="000740A8">
        <w:rPr>
          <w:rFonts w:asciiTheme="minorBidi" w:hAnsiTheme="minorBidi"/>
          <w:sz w:val="24"/>
          <w:szCs w:val="24"/>
          <w:rtl/>
        </w:rPr>
        <w:t>حدوث العدوى الفطرية</w:t>
      </w:r>
      <w:r w:rsidRPr="000740A8">
        <w:rPr>
          <w:rFonts w:asciiTheme="minorBidi" w:hAnsiTheme="minorBidi"/>
          <w:sz w:val="24"/>
          <w:szCs w:val="24"/>
        </w:rPr>
        <w:t>.</w:t>
      </w:r>
    </w:p>
    <w:p w14:paraId="7CAB7075" w14:textId="77777777" w:rsidR="000740A8" w:rsidRPr="00B90618" w:rsidRDefault="000740A8" w:rsidP="000740A8">
      <w:pPr>
        <w:bidi/>
        <w:spacing w:after="0"/>
        <w:rPr>
          <w:rFonts w:asciiTheme="minorBidi" w:hAnsiTheme="minorBidi"/>
          <w:color w:val="000000" w:themeColor="text1"/>
          <w:sz w:val="24"/>
          <w:szCs w:val="24"/>
          <w:rtl/>
        </w:rPr>
      </w:pPr>
      <w:r w:rsidRPr="000740A8">
        <w:rPr>
          <w:rFonts w:asciiTheme="minorBidi" w:hAnsiTheme="minorBidi" w:hint="cs"/>
          <w:sz w:val="24"/>
          <w:szCs w:val="24"/>
          <w:rtl/>
        </w:rPr>
        <w:t xml:space="preserve">ـ </w:t>
      </w:r>
      <w:r w:rsidRPr="00B90618">
        <w:rPr>
          <w:rFonts w:asciiTheme="minorBidi" w:hAnsiTheme="minorBidi"/>
          <w:color w:val="000000" w:themeColor="text1"/>
          <w:sz w:val="24"/>
          <w:szCs w:val="24"/>
          <w:rtl/>
        </w:rPr>
        <w:t>وتطور مقاومة مضادات الميكروبات</w:t>
      </w:r>
      <w:r w:rsidRPr="00B90618">
        <w:rPr>
          <w:rFonts w:asciiTheme="minorBidi" w:hAnsiTheme="minorBidi"/>
          <w:color w:val="000000" w:themeColor="text1"/>
          <w:sz w:val="24"/>
          <w:szCs w:val="24"/>
        </w:rPr>
        <w:t>.</w:t>
      </w:r>
    </w:p>
    <w:p w14:paraId="2BAAF13B" w14:textId="77777777" w:rsidR="000740A8" w:rsidRPr="00B90618" w:rsidRDefault="000740A8" w:rsidP="000740A8">
      <w:pPr>
        <w:bidi/>
        <w:spacing w:after="100" w:line="283" w:lineRule="auto"/>
        <w:rPr>
          <w:color w:val="000000" w:themeColor="text1"/>
        </w:rPr>
      </w:pPr>
    </w:p>
    <w:p w14:paraId="3104E2BD" w14:textId="77777777" w:rsidR="00B90618" w:rsidRPr="00B90618" w:rsidRDefault="00000000" w:rsidP="00B90618">
      <w:pPr>
        <w:bidi/>
        <w:spacing w:after="0"/>
        <w:rPr>
          <w:rFonts w:asciiTheme="minorBidi" w:hAnsiTheme="minorBidi"/>
          <w:color w:val="000000" w:themeColor="text1"/>
          <w:sz w:val="24"/>
          <w:szCs w:val="24"/>
          <w:rtl/>
        </w:rPr>
      </w:pPr>
      <w:r w:rsidRPr="00B90618">
        <w:rPr>
          <w:color w:val="000000" w:themeColor="text1"/>
          <w:rtl/>
        </w:rPr>
        <w:t>لا يُجرى تبديل القثاطر على جدول روتيني لمجرد الوقاية من العدوى؛ تُتبع الإرشادات المؤسسية عند الاشتباه بعدوى أو انسداد أو خلل وظيفي [3].</w:t>
      </w:r>
      <w:r w:rsidR="00B90618" w:rsidRPr="00B90618">
        <w:rPr>
          <w:rFonts w:hint="cs"/>
          <w:color w:val="000000" w:themeColor="text1"/>
          <w:rtl/>
        </w:rPr>
        <w:t xml:space="preserve"> </w:t>
      </w:r>
      <w:r w:rsidR="00B90618" w:rsidRPr="00B90618">
        <w:rPr>
          <w:rFonts w:asciiTheme="minorBidi" w:hAnsiTheme="minorBidi"/>
          <w:color w:val="000000" w:themeColor="text1"/>
          <w:sz w:val="24"/>
          <w:szCs w:val="24"/>
          <w:rtl/>
        </w:rPr>
        <w:t>وعندما يصبح واضحًا أن استعادة وظيفة الكلى إلى درجة الاستغناء عن</w:t>
      </w:r>
      <w:r w:rsidR="00B90618" w:rsidRPr="00B90618">
        <w:rPr>
          <w:rFonts w:asciiTheme="minorBidi" w:hAnsiTheme="minorBidi"/>
          <w:color w:val="000000" w:themeColor="text1"/>
          <w:sz w:val="24"/>
          <w:szCs w:val="24"/>
        </w:rPr>
        <w:t xml:space="preserve"> KRT </w:t>
      </w:r>
      <w:r w:rsidR="00B90618" w:rsidRPr="00B90618">
        <w:rPr>
          <w:rFonts w:asciiTheme="minorBidi" w:hAnsiTheme="minorBidi"/>
          <w:color w:val="000000" w:themeColor="text1"/>
          <w:sz w:val="24"/>
          <w:szCs w:val="24"/>
          <w:rtl/>
        </w:rPr>
        <w:t>ليست وشيكة، ينبغي التفكير في وضع</w:t>
      </w:r>
      <w:r w:rsidR="00B90618" w:rsidRPr="00B90618">
        <w:rPr>
          <w:rFonts w:asciiTheme="minorBidi" w:hAnsiTheme="minorBidi"/>
          <w:color w:val="000000" w:themeColor="text1"/>
          <w:sz w:val="24"/>
          <w:szCs w:val="24"/>
        </w:rPr>
        <w:t>:</w:t>
      </w:r>
    </w:p>
    <w:p w14:paraId="237B326C" w14:textId="77777777" w:rsidR="00B90618" w:rsidRPr="00B90618" w:rsidRDefault="00B90618" w:rsidP="00B90618">
      <w:pPr>
        <w:bidi/>
        <w:spacing w:after="0"/>
        <w:rPr>
          <w:rFonts w:asciiTheme="minorBidi" w:hAnsiTheme="minorBidi"/>
          <w:color w:val="000000" w:themeColor="text1"/>
          <w:sz w:val="24"/>
          <w:szCs w:val="24"/>
          <w:rtl/>
        </w:rPr>
      </w:pPr>
      <w:r w:rsidRPr="00B90618">
        <w:rPr>
          <w:rFonts w:asciiTheme="minorBidi" w:hAnsiTheme="minorBidi"/>
          <w:color w:val="000000" w:themeColor="text1"/>
          <w:sz w:val="24"/>
          <w:szCs w:val="24"/>
          <w:rtl/>
        </w:rPr>
        <w:t>قثطر</w:t>
      </w:r>
      <w:r w:rsidRPr="00B90618">
        <w:rPr>
          <w:rFonts w:asciiTheme="minorBidi" w:hAnsiTheme="minorBidi" w:hint="cs"/>
          <w:color w:val="000000" w:themeColor="text1"/>
          <w:sz w:val="24"/>
          <w:szCs w:val="24"/>
          <w:rtl/>
        </w:rPr>
        <w:t>ة</w:t>
      </w:r>
      <w:r w:rsidRPr="00B90618">
        <w:rPr>
          <w:rFonts w:asciiTheme="minorBidi" w:hAnsiTheme="minorBidi"/>
          <w:color w:val="000000" w:themeColor="text1"/>
          <w:sz w:val="24"/>
          <w:szCs w:val="24"/>
          <w:rtl/>
        </w:rPr>
        <w:t xml:space="preserve"> غسيل</w:t>
      </w:r>
      <w:r w:rsidRPr="00B90618">
        <w:rPr>
          <w:rFonts w:asciiTheme="minorBidi" w:hAnsiTheme="minorBidi" w:hint="cs"/>
          <w:color w:val="000000" w:themeColor="text1"/>
          <w:sz w:val="24"/>
          <w:szCs w:val="24"/>
          <w:rtl/>
        </w:rPr>
        <w:t xml:space="preserve"> دائمة مثل  </w:t>
      </w:r>
      <w:r w:rsidRPr="00B90618">
        <w:rPr>
          <w:rFonts w:asciiTheme="minorBidi" w:hAnsiTheme="minorBidi"/>
          <w:color w:val="000000" w:themeColor="text1"/>
          <w:sz w:val="24"/>
          <w:szCs w:val="24"/>
        </w:rPr>
        <w:t xml:space="preserve">tunneled </w:t>
      </w:r>
      <w:r w:rsidRPr="00B90618">
        <w:rPr>
          <w:rFonts w:asciiTheme="minorBidi" w:hAnsiTheme="minorBidi"/>
          <w:color w:val="000000" w:themeColor="text1"/>
          <w:sz w:val="24"/>
          <w:szCs w:val="24"/>
          <w:lang w:val="en-GB"/>
        </w:rPr>
        <w:t xml:space="preserve">cuffed </w:t>
      </w:r>
      <w:proofErr w:type="spellStart"/>
      <w:r w:rsidRPr="00B90618">
        <w:rPr>
          <w:rFonts w:asciiTheme="minorBidi" w:hAnsiTheme="minorBidi"/>
          <w:color w:val="000000" w:themeColor="text1"/>
          <w:sz w:val="24"/>
          <w:szCs w:val="24"/>
          <w:lang w:val="en-GB"/>
        </w:rPr>
        <w:t>hemodialysis</w:t>
      </w:r>
      <w:proofErr w:type="spellEnd"/>
      <w:r w:rsidRPr="00B90618">
        <w:rPr>
          <w:rFonts w:asciiTheme="minorBidi" w:hAnsiTheme="minorBidi"/>
          <w:color w:val="000000" w:themeColor="text1"/>
          <w:sz w:val="24"/>
          <w:szCs w:val="24"/>
          <w:lang w:val="en-GB"/>
        </w:rPr>
        <w:t xml:space="preserve"> catheter or Demers</w:t>
      </w:r>
      <w:r w:rsidRPr="00B90618">
        <w:rPr>
          <w:rFonts w:asciiTheme="minorBidi" w:hAnsiTheme="minorBidi" w:hint="cs"/>
          <w:color w:val="000000" w:themeColor="text1"/>
          <w:sz w:val="24"/>
          <w:szCs w:val="24"/>
          <w:rtl/>
        </w:rPr>
        <w:t xml:space="preserve">. </w:t>
      </w:r>
    </w:p>
    <w:p w14:paraId="484A10D5" w14:textId="77777777" w:rsidR="00B90618" w:rsidRPr="00B90618" w:rsidRDefault="00B90618" w:rsidP="00B90618">
      <w:pPr>
        <w:bidi/>
        <w:spacing w:after="0"/>
        <w:rPr>
          <w:rFonts w:asciiTheme="minorBidi" w:hAnsiTheme="minorBidi"/>
          <w:color w:val="000000" w:themeColor="text1"/>
          <w:sz w:val="24"/>
          <w:szCs w:val="24"/>
          <w:rtl/>
        </w:rPr>
      </w:pPr>
      <w:r w:rsidRPr="00B90618">
        <w:rPr>
          <w:rFonts w:asciiTheme="minorBidi" w:hAnsiTheme="minorBidi"/>
          <w:color w:val="000000" w:themeColor="text1"/>
          <w:sz w:val="24"/>
          <w:szCs w:val="24"/>
          <w:rtl/>
        </w:rPr>
        <w:t xml:space="preserve">أما إعادة تمرير سلك إرشاد </w:t>
      </w:r>
      <w:r w:rsidRPr="00B90618">
        <w:rPr>
          <w:rFonts w:asciiTheme="minorBidi" w:hAnsiTheme="minorBidi"/>
          <w:color w:val="000000" w:themeColor="text1"/>
          <w:sz w:val="24"/>
          <w:szCs w:val="24"/>
        </w:rPr>
        <w:t>Rewiring</w:t>
      </w:r>
      <w:r w:rsidRPr="00B90618">
        <w:rPr>
          <w:rFonts w:asciiTheme="minorBidi" w:hAnsiTheme="minorBidi" w:hint="cs"/>
          <w:color w:val="000000" w:themeColor="text1"/>
          <w:sz w:val="24"/>
          <w:szCs w:val="24"/>
          <w:rtl/>
        </w:rPr>
        <w:t xml:space="preserve"> </w:t>
      </w:r>
      <w:r w:rsidRPr="00B90618">
        <w:rPr>
          <w:rFonts w:asciiTheme="minorBidi" w:hAnsiTheme="minorBidi"/>
          <w:color w:val="000000" w:themeColor="text1"/>
          <w:sz w:val="24"/>
          <w:szCs w:val="24"/>
          <w:rtl/>
        </w:rPr>
        <w:t>داخل قثطر</w:t>
      </w:r>
      <w:r w:rsidRPr="00B90618">
        <w:rPr>
          <w:rFonts w:asciiTheme="minorBidi" w:hAnsiTheme="minorBidi" w:hint="cs"/>
          <w:color w:val="000000" w:themeColor="text1"/>
          <w:sz w:val="24"/>
          <w:szCs w:val="24"/>
          <w:rtl/>
        </w:rPr>
        <w:t>ة</w:t>
      </w:r>
      <w:r w:rsidRPr="00B90618">
        <w:rPr>
          <w:rFonts w:asciiTheme="minorBidi" w:hAnsiTheme="minorBidi"/>
          <w:color w:val="000000" w:themeColor="text1"/>
          <w:sz w:val="24"/>
          <w:szCs w:val="24"/>
          <w:rtl/>
        </w:rPr>
        <w:t xml:space="preserve"> غسيل الكلى المؤقت عند حدوث خلل في وظيفته، فهي غالبًا غير فعالة، وفي كثير من الحالات قد يكون وضع قثطر</w:t>
      </w:r>
      <w:r w:rsidRPr="00B90618">
        <w:rPr>
          <w:rFonts w:asciiTheme="minorBidi" w:hAnsiTheme="minorBidi" w:hint="cs"/>
          <w:color w:val="000000" w:themeColor="text1"/>
          <w:sz w:val="24"/>
          <w:szCs w:val="24"/>
          <w:rtl/>
        </w:rPr>
        <w:t>ة</w:t>
      </w:r>
      <w:r w:rsidRPr="00B90618">
        <w:rPr>
          <w:rFonts w:asciiTheme="minorBidi" w:hAnsiTheme="minorBidi"/>
          <w:color w:val="000000" w:themeColor="text1"/>
          <w:sz w:val="24"/>
          <w:szCs w:val="24"/>
          <w:rtl/>
        </w:rPr>
        <w:t xml:space="preserve"> في موقع جديد أكثر توفيرًا للوقت ويؤدي إلى تحسن وظيفة القثطر</w:t>
      </w:r>
      <w:r w:rsidRPr="00B90618">
        <w:rPr>
          <w:rFonts w:asciiTheme="minorBidi" w:hAnsiTheme="minorBidi" w:hint="cs"/>
          <w:color w:val="000000" w:themeColor="text1"/>
          <w:sz w:val="24"/>
          <w:szCs w:val="24"/>
          <w:rtl/>
        </w:rPr>
        <w:t>ة.</w:t>
      </w:r>
    </w:p>
    <w:p w14:paraId="07B96263" w14:textId="5C748CAD" w:rsidR="00B565AC" w:rsidRDefault="00B565AC" w:rsidP="000740A8">
      <w:pPr>
        <w:bidi/>
        <w:spacing w:after="100" w:line="283" w:lineRule="auto"/>
      </w:pPr>
    </w:p>
    <w:p w14:paraId="37B9C558" w14:textId="77777777" w:rsidR="00B90618" w:rsidRDefault="00B90618" w:rsidP="000740A8">
      <w:pPr>
        <w:pStyle w:val="berschrift1"/>
        <w:bidi/>
        <w:spacing w:after="160" w:line="283" w:lineRule="auto"/>
        <w:rPr>
          <w:rFonts w:ascii="Arial" w:hAnsi="Arial" w:cs="Arial"/>
          <w:rtl/>
        </w:rPr>
      </w:pPr>
    </w:p>
    <w:p w14:paraId="6E002C5B" w14:textId="08441A83" w:rsidR="00B565AC" w:rsidRDefault="00000000" w:rsidP="00B90618">
      <w:pPr>
        <w:pStyle w:val="berschrift1"/>
        <w:spacing w:after="160" w:line="283" w:lineRule="auto"/>
      </w:pPr>
      <w:r>
        <w:rPr>
          <w:rFonts w:ascii="Arial" w:hAnsi="Arial" w:cs="Arial"/>
          <w:rtl/>
        </w:rPr>
        <w:t>المراجع</w:t>
      </w:r>
    </w:p>
    <w:p w14:paraId="17B28856" w14:textId="77777777" w:rsidR="00B565AC" w:rsidRDefault="00000000" w:rsidP="00B90618">
      <w:pPr>
        <w:spacing w:after="60" w:line="252" w:lineRule="auto"/>
      </w:pPr>
      <w:r>
        <w:rPr>
          <w:color w:val="263746"/>
          <w:sz w:val="18"/>
        </w:rPr>
        <w:t>[1] KDIGO. Clinical Practice Guideline for Acute Kidney Injury. Kidney Int Suppl. 2012;2:1–138. https://kdigo.org/wp-content/uploads/2016/10/KDIGO-2012-AKI-Guideline-English.pdf.</w:t>
      </w:r>
    </w:p>
    <w:p w14:paraId="372506A9" w14:textId="77777777" w:rsidR="00B565AC" w:rsidRDefault="00000000" w:rsidP="00B90618">
      <w:pPr>
        <w:spacing w:after="60" w:line="252" w:lineRule="auto"/>
      </w:pPr>
      <w:r>
        <w:rPr>
          <w:color w:val="263746"/>
          <w:sz w:val="18"/>
        </w:rPr>
        <w:t>[2] Parienti JJ, et al. Femoral vs jugular venous catheterization and risk of nosocomial events in adults requiring acute renal replacement therapy: a randomized controlled trial. JAMA. 2008;299(20):2413–2422. doi:10.1001/jama.299.20.2413.</w:t>
      </w:r>
    </w:p>
    <w:p w14:paraId="227D5CCF" w14:textId="77777777" w:rsidR="00B565AC" w:rsidRDefault="00000000" w:rsidP="00B90618">
      <w:pPr>
        <w:spacing w:after="60" w:line="252" w:lineRule="auto"/>
      </w:pPr>
      <w:r>
        <w:rPr>
          <w:color w:val="263746"/>
          <w:sz w:val="18"/>
        </w:rPr>
        <w:t>[3] CDC. Guidelines for the Prevention of Intravascular Catheter-Related Infections. https://www.cdc.gov/infection-control/hcp/intravascular-catheter-related-infection/.</w:t>
      </w:r>
    </w:p>
    <w:sectPr w:rsidR="00B565A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2045015687">
    <w:abstractNumId w:val="8"/>
  </w:num>
  <w:num w:numId="2" w16cid:durableId="1160855094">
    <w:abstractNumId w:val="6"/>
  </w:num>
  <w:num w:numId="3" w16cid:durableId="1934586193">
    <w:abstractNumId w:val="5"/>
  </w:num>
  <w:num w:numId="4" w16cid:durableId="1126896421">
    <w:abstractNumId w:val="4"/>
  </w:num>
  <w:num w:numId="5" w16cid:durableId="592055778">
    <w:abstractNumId w:val="7"/>
  </w:num>
  <w:num w:numId="6" w16cid:durableId="1103258719">
    <w:abstractNumId w:val="3"/>
  </w:num>
  <w:num w:numId="7" w16cid:durableId="1202983731">
    <w:abstractNumId w:val="2"/>
  </w:num>
  <w:num w:numId="8" w16cid:durableId="1930431148">
    <w:abstractNumId w:val="1"/>
  </w:num>
  <w:num w:numId="9" w16cid:durableId="1388139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40A8"/>
    <w:rsid w:val="0015074B"/>
    <w:rsid w:val="0029639D"/>
    <w:rsid w:val="00326F90"/>
    <w:rsid w:val="007008B6"/>
    <w:rsid w:val="00AA1D8D"/>
    <w:rsid w:val="00B47730"/>
    <w:rsid w:val="00B565AC"/>
    <w:rsid w:val="00B9061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11745A"/>
  <w14:defaultImageDpi w14:val="300"/>
  <w15:docId w15:val="{B5A4B28E-8463-4106-9EC1-B20E24420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cs="Arial"/>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24D"/>
      <w:sz w:val="30"/>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149A91"/>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3045</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Mahmoud Alhariri</cp:lastModifiedBy>
  <cp:revision>2</cp:revision>
  <dcterms:created xsi:type="dcterms:W3CDTF">2013-12-23T23:15:00Z</dcterms:created>
  <dcterms:modified xsi:type="dcterms:W3CDTF">2026-10-02T22:34:00Z</dcterms:modified>
  <cp:category/>
</cp:coreProperties>
</file>