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2E8C" w14:textId="5F56D586" w:rsidR="00BD2A02" w:rsidRPr="00B05DA2" w:rsidRDefault="00BD2A02" w:rsidP="00BD2A02">
      <w:pPr>
        <w:bidi/>
        <w:spacing w:after="0"/>
        <w:rPr>
          <w:b/>
          <w:bCs/>
          <w:color w:val="548DD4" w:themeColor="text2" w:themeTint="99"/>
          <w:sz w:val="28"/>
          <w:szCs w:val="28"/>
        </w:rPr>
      </w:pPr>
      <w:r w:rsidRPr="00B05DA2">
        <w:rPr>
          <w:b/>
          <w:bCs/>
          <w:color w:val="548DD4" w:themeColor="text2" w:themeTint="99"/>
          <w:sz w:val="28"/>
          <w:szCs w:val="28"/>
          <w:rtl/>
        </w:rPr>
        <w:t>تدبير السوائل</w:t>
      </w:r>
      <w:r w:rsidR="00B05DA2">
        <w:rPr>
          <w:rFonts w:hint="cs"/>
          <w:b/>
          <w:bCs/>
          <w:color w:val="548DD4" w:themeColor="text2" w:themeTint="99"/>
          <w:sz w:val="28"/>
          <w:szCs w:val="28"/>
          <w:rtl/>
        </w:rPr>
        <w:t xml:space="preserve"> </w:t>
      </w:r>
      <w:r w:rsidR="00B05DA2" w:rsidRPr="00B05DA2">
        <w:rPr>
          <w:b/>
          <w:bCs/>
          <w:color w:val="548DD4" w:themeColor="text2" w:themeTint="99"/>
          <w:sz w:val="28"/>
          <w:szCs w:val="28"/>
        </w:rPr>
        <w:t>Fluid Management</w:t>
      </w:r>
    </w:p>
    <w:p w14:paraId="4B1987E7" w14:textId="77777777" w:rsidR="006705CC" w:rsidRDefault="006705CC" w:rsidP="00BD2A02">
      <w:pPr>
        <w:bidi/>
        <w:spacing w:after="0"/>
        <w:rPr>
          <w:b/>
          <w:bCs/>
          <w:color w:val="548DD4" w:themeColor="text2" w:themeTint="99"/>
          <w:sz w:val="28"/>
          <w:szCs w:val="28"/>
          <w:rtl/>
        </w:rPr>
      </w:pPr>
    </w:p>
    <w:p w14:paraId="30E7B8B5" w14:textId="6A8D5598" w:rsidR="00BD2A02" w:rsidRPr="006705CC" w:rsidRDefault="00BD2A02" w:rsidP="006705CC">
      <w:pPr>
        <w:bidi/>
        <w:spacing w:after="0"/>
        <w:rPr>
          <w:b/>
          <w:bCs/>
          <w:sz w:val="28"/>
          <w:szCs w:val="28"/>
        </w:rPr>
      </w:pPr>
      <w:r w:rsidRPr="006705CC">
        <w:rPr>
          <w:b/>
          <w:bCs/>
          <w:sz w:val="28"/>
          <w:szCs w:val="28"/>
          <w:rtl/>
        </w:rPr>
        <w:t>المحاليل وتوازن السوائل في الغسيل الكلوي المستمر</w:t>
      </w:r>
      <w:r w:rsidRPr="006705CC">
        <w:rPr>
          <w:b/>
          <w:bCs/>
          <w:sz w:val="28"/>
          <w:szCs w:val="28"/>
        </w:rPr>
        <w:t xml:space="preserve"> (CKRT)</w:t>
      </w:r>
    </w:p>
    <w:p w14:paraId="44A5B75E" w14:textId="2993C5F8" w:rsidR="00BD2A02" w:rsidRDefault="00BD2A02" w:rsidP="004E70DB">
      <w:pPr>
        <w:bidi/>
        <w:spacing w:after="0"/>
      </w:pPr>
      <w:r>
        <w:rPr>
          <w:rtl/>
        </w:rPr>
        <w:t>محاليل</w:t>
      </w:r>
      <w:r>
        <w:t xml:space="preserve"> CKRT </w:t>
      </w:r>
      <w:r>
        <w:rPr>
          <w:rtl/>
        </w:rPr>
        <w:t>وتركيبها</w:t>
      </w:r>
      <w:r w:rsidR="006705CC">
        <w:rPr>
          <w:rFonts w:hint="cs"/>
          <w:rtl/>
        </w:rPr>
        <w:t>:</w:t>
      </w:r>
    </w:p>
    <w:p w14:paraId="22C5126F" w14:textId="097661A3" w:rsidR="004E70DB" w:rsidRDefault="00BD2A02" w:rsidP="004E70DB">
      <w:pPr>
        <w:bidi/>
        <w:spacing w:after="0"/>
        <w:rPr>
          <w:rtl/>
        </w:rPr>
      </w:pPr>
      <w:r>
        <w:rPr>
          <w:rtl/>
        </w:rPr>
        <w:t xml:space="preserve">تختلف محاليل الغسيل والتعويض </w:t>
      </w:r>
      <w:r w:rsidR="004E70DB">
        <w:rPr>
          <w:rFonts w:hint="cs"/>
          <w:rtl/>
        </w:rPr>
        <w:t xml:space="preserve">بصورة أساسية </w:t>
      </w:r>
      <w:r>
        <w:rPr>
          <w:rtl/>
        </w:rPr>
        <w:t xml:space="preserve">في تراكيز الصوديوم والبوتاسيوم </w:t>
      </w:r>
      <w:r w:rsidR="004E70DB">
        <w:rPr>
          <w:rtl/>
        </w:rPr>
        <w:t xml:space="preserve">والبيكربونات </w:t>
      </w:r>
      <w:r>
        <w:rPr>
          <w:rtl/>
        </w:rPr>
        <w:t>و</w:t>
      </w:r>
      <w:r w:rsidR="004E70DB">
        <w:rPr>
          <w:rFonts w:hint="cs"/>
          <w:rtl/>
        </w:rPr>
        <w:t xml:space="preserve"> أيضاً </w:t>
      </w:r>
      <w:r>
        <w:rPr>
          <w:rtl/>
        </w:rPr>
        <w:t xml:space="preserve">الكالسيوم والمغنيسيوم والفوسفات والغلوكوز. </w:t>
      </w:r>
      <w:r w:rsidR="004E70DB">
        <w:rPr>
          <w:rtl/>
        </w:rPr>
        <w:t>وهذا يسمح بإدارة دقيقة ومتزامنة ومستقلة لكل من توازن السوائل وتركيب البلازما</w:t>
      </w:r>
      <w:r w:rsidR="004E70DB">
        <w:t>.</w:t>
      </w:r>
      <w:r w:rsidR="004E70DB">
        <w:rPr>
          <w:rFonts w:hint="cs"/>
          <w:rtl/>
        </w:rPr>
        <w:t xml:space="preserve"> </w:t>
      </w:r>
      <w:r w:rsidR="004E70DB">
        <w:rPr>
          <w:rtl/>
        </w:rPr>
        <w:t>فعلى سبيل المثال، يمكن إبقاء تركيز الصوديوم في البلازما عند أي قيمة مستهدفة، في الوقت الذي يُحافظ فيه على توازن السوائل متعادلًا أو سلبيًّا أو إيجابيًّا.</w:t>
      </w:r>
      <w:r w:rsidR="004E70DB">
        <w:rPr>
          <w:rFonts w:hint="cs"/>
          <w:rtl/>
        </w:rPr>
        <w:t xml:space="preserve"> </w:t>
      </w:r>
    </w:p>
    <w:p w14:paraId="24787328" w14:textId="504FDC59" w:rsidR="00BD2A02" w:rsidRDefault="00BD2A02" w:rsidP="004E70DB">
      <w:pPr>
        <w:bidi/>
        <w:spacing w:after="0"/>
      </w:pPr>
      <w:r>
        <w:rPr>
          <w:rtl/>
        </w:rPr>
        <w:t>ينبغي اختيار التركيب وفق التحاليل المتتابعة ووصفة العلاج والبروتوكول المحلي، مع مراجعة توافق المحلول مع مضاد التخثر والجهاز</w:t>
      </w:r>
      <w:r>
        <w:t xml:space="preserve"> [1،4].</w:t>
      </w:r>
    </w:p>
    <w:p w14:paraId="1FCBD771" w14:textId="77777777" w:rsidR="006705CC" w:rsidRDefault="006705CC" w:rsidP="00BD2A02">
      <w:pPr>
        <w:bidi/>
        <w:spacing w:after="0"/>
        <w:rPr>
          <w:rtl/>
        </w:rPr>
      </w:pPr>
    </w:p>
    <w:p w14:paraId="3BE68F7C" w14:textId="251E8B1E" w:rsidR="00BD2A02" w:rsidRPr="006705CC" w:rsidRDefault="00BD2A02" w:rsidP="006705CC">
      <w:pPr>
        <w:bidi/>
        <w:spacing w:after="0"/>
        <w:rPr>
          <w:b/>
          <w:bCs/>
          <w:sz w:val="28"/>
          <w:szCs w:val="28"/>
        </w:rPr>
      </w:pPr>
      <w:r w:rsidRPr="006705CC">
        <w:rPr>
          <w:b/>
          <w:bCs/>
          <w:sz w:val="28"/>
          <w:szCs w:val="28"/>
          <w:rtl/>
        </w:rPr>
        <w:t>اضطراب صوديوم الدم</w:t>
      </w:r>
    </w:p>
    <w:p w14:paraId="171B6C9A" w14:textId="7B4B3A4D" w:rsidR="00BD2A02" w:rsidRDefault="00BD2A02" w:rsidP="00BD2A02">
      <w:pPr>
        <w:bidi/>
        <w:spacing w:after="0"/>
      </w:pPr>
      <w:r>
        <w:rPr>
          <w:rtl/>
        </w:rPr>
        <w:t xml:space="preserve">قد يؤدي استخدام محاليل الصوديوم القياسية في مريض لديه نقص صوديوم شديد إلى تصحيح أسرع من المرغوب. وُصفت استراتيجيات تشمل محاليل منخفضة الصوديوم أو إضافة </w:t>
      </w:r>
      <w:r w:rsidR="006705CC">
        <w:rPr>
          <w:rFonts w:hint="cs"/>
          <w:rtl/>
        </w:rPr>
        <w:t>محلول</w:t>
      </w:r>
      <w:r>
        <w:rPr>
          <w:rtl/>
        </w:rPr>
        <w:t xml:space="preserve"> الدكستروز 5</w:t>
      </w:r>
      <w:r w:rsidR="006705CC">
        <w:rPr>
          <w:rFonts w:hint="cs"/>
          <w:rtl/>
        </w:rPr>
        <w:t>%</w:t>
      </w:r>
      <w:r>
        <w:t xml:space="preserve"> (D5W) </w:t>
      </w:r>
      <w:r>
        <w:rPr>
          <w:rtl/>
        </w:rPr>
        <w:t>إلى الدارة؛ وتعتمد الطريقة ومعدلها على الوصفة، ومعدل السائل الخارج، وتركيز الصوديوم المستهدف، ومراقبة صوديوم الدم</w:t>
      </w:r>
      <w:r>
        <w:t xml:space="preserve"> [1،2].</w:t>
      </w:r>
    </w:p>
    <w:p w14:paraId="3E56D514" w14:textId="77777777" w:rsidR="004E70DB" w:rsidRDefault="004E70DB" w:rsidP="004E70DB">
      <w:pPr>
        <w:bidi/>
        <w:spacing w:after="0"/>
        <w:rPr>
          <w:rtl/>
        </w:rPr>
      </w:pPr>
    </w:p>
    <w:p w14:paraId="4C70D674" w14:textId="3E55FA93" w:rsidR="004E70DB" w:rsidRDefault="004E70DB" w:rsidP="004E70DB">
      <w:pPr>
        <w:bidi/>
        <w:spacing w:after="0"/>
        <w:rPr>
          <w:rtl/>
        </w:rPr>
      </w:pPr>
      <w:r>
        <w:rPr>
          <w:rtl/>
        </w:rPr>
        <w:t>في</w:t>
      </w:r>
      <w:r>
        <w:t xml:space="preserve"> IHD </w:t>
      </w:r>
      <w:r>
        <w:rPr>
          <w:rtl/>
        </w:rPr>
        <w:t>يمكن تعديل تركيز الصوديوم في سائل الديال بصورة مستمرة ضمن نطاق محدود، عادةً: 130–145</w:t>
      </w:r>
      <w:r>
        <w:t xml:space="preserve"> </w:t>
      </w:r>
      <w:r>
        <w:rPr>
          <w:rFonts w:hint="cs"/>
          <w:rtl/>
        </w:rPr>
        <w:t xml:space="preserve"> ممول/ل ، </w:t>
      </w:r>
      <w:r>
        <w:rPr>
          <w:rtl/>
        </w:rPr>
        <w:t xml:space="preserve">وذلك عبر تغيير عبوات سائل الغسيل و وصلها إلى </w:t>
      </w:r>
      <w:r>
        <w:rPr>
          <w:rFonts w:hint="cs"/>
          <w:rtl/>
        </w:rPr>
        <w:t>الوعاء</w:t>
      </w:r>
      <w:r>
        <w:rPr>
          <w:rtl/>
        </w:rPr>
        <w:t xml:space="preserve"> المناسب أو المرغوب فيه</w:t>
      </w:r>
      <w:r>
        <w:rPr>
          <w:rFonts w:hint="cs"/>
          <w:rtl/>
        </w:rPr>
        <w:t xml:space="preserve">. </w:t>
      </w:r>
    </w:p>
    <w:p w14:paraId="1FE0091E" w14:textId="0972F184" w:rsidR="004E70DB" w:rsidRDefault="004E70DB" w:rsidP="004E70DB">
      <w:pPr>
        <w:bidi/>
        <w:spacing w:after="0"/>
        <w:rPr>
          <w:rtl/>
        </w:rPr>
      </w:pPr>
      <w:r>
        <w:rPr>
          <w:rtl/>
        </w:rPr>
        <w:t>لكن الحصول على تراكيز فعّالة للصوديوم خارج هذا النطاق أمر غير عملي بسبب معدل</w:t>
      </w:r>
      <w:r>
        <w:t xml:space="preserve"> </w:t>
      </w:r>
      <w:proofErr w:type="spellStart"/>
      <w:r>
        <w:t>Qd</w:t>
      </w:r>
      <w:proofErr w:type="spellEnd"/>
      <w:r>
        <w:t xml:space="preserve"> </w:t>
      </w:r>
      <w:r>
        <w:rPr>
          <w:rtl/>
        </w:rPr>
        <w:t>المرتفع نسبيًّا المستخدم في</w:t>
      </w:r>
      <w:r>
        <w:rPr>
          <w:rFonts w:hint="cs"/>
          <w:rtl/>
        </w:rPr>
        <w:t xml:space="preserve"> </w:t>
      </w:r>
      <w:r>
        <w:t>IHD</w:t>
      </w:r>
      <w:r>
        <w:rPr>
          <w:rFonts w:hint="cs"/>
          <w:rtl/>
        </w:rPr>
        <w:t>.</w:t>
      </w:r>
      <w:r>
        <w:t xml:space="preserve"> </w:t>
      </w:r>
    </w:p>
    <w:p w14:paraId="327425E8" w14:textId="3215832E" w:rsidR="004E70DB" w:rsidRDefault="004E70DB" w:rsidP="004E70DB">
      <w:pPr>
        <w:bidi/>
        <w:spacing w:after="0"/>
        <w:rPr>
          <w:rtl/>
        </w:rPr>
      </w:pPr>
      <w:r>
        <w:rPr>
          <w:rtl/>
        </w:rPr>
        <w:t>أما في</w:t>
      </w:r>
      <w:r>
        <w:t xml:space="preserve"> CKRT</w:t>
      </w:r>
      <w:r>
        <w:rPr>
          <w:rtl/>
        </w:rPr>
        <w:t>، فعلى الرغم من أن تراكيز الصوديوم في المحاليل المصنّعة مسبقًا ثابتة، فإن الانخفاض النسبي في</w:t>
      </w:r>
      <w:r>
        <w:rPr>
          <w:rFonts w:hint="cs"/>
          <w:rtl/>
        </w:rPr>
        <w:t xml:space="preserve"> </w:t>
      </w:r>
      <w:r>
        <w:t xml:space="preserve"> </w:t>
      </w:r>
      <w:proofErr w:type="spellStart"/>
      <w:r>
        <w:t>Qd</w:t>
      </w:r>
      <w:proofErr w:type="spellEnd"/>
      <w:r>
        <w:rPr>
          <w:rtl/>
        </w:rPr>
        <w:t>و</w:t>
      </w:r>
      <w:proofErr w:type="spellStart"/>
      <w:r>
        <w:t>Qr</w:t>
      </w:r>
      <w:proofErr w:type="spellEnd"/>
      <w:r>
        <w:t xml:space="preserve"> </w:t>
      </w:r>
      <w:r>
        <w:rPr>
          <w:rFonts w:hint="cs"/>
          <w:rtl/>
        </w:rPr>
        <w:t xml:space="preserve"> </w:t>
      </w:r>
      <w:r>
        <w:rPr>
          <w:rtl/>
        </w:rPr>
        <w:t>يسمح بتعديل تركيز الصوديوم الفعّال بسهولة أكبر</w:t>
      </w:r>
      <w:r>
        <w:rPr>
          <w:rFonts w:hint="cs"/>
          <w:rtl/>
        </w:rPr>
        <w:t xml:space="preserve">، </w:t>
      </w:r>
      <w:r>
        <w:rPr>
          <w:rtl/>
        </w:rPr>
        <w:t>وهذا</w:t>
      </w:r>
      <w:r>
        <w:rPr>
          <w:rFonts w:hint="cs"/>
          <w:rtl/>
        </w:rPr>
        <w:t xml:space="preserve"> بدوره</w:t>
      </w:r>
      <w:r>
        <w:rPr>
          <w:rtl/>
        </w:rPr>
        <w:t xml:space="preserve"> يتيح تصحيحًا بطيئًا ومضبوطًا لحالات</w:t>
      </w:r>
      <w:r>
        <w:rPr>
          <w:rFonts w:hint="cs"/>
          <w:rtl/>
        </w:rPr>
        <w:t xml:space="preserve"> </w:t>
      </w:r>
      <w:r>
        <w:rPr>
          <w:rtl/>
        </w:rPr>
        <w:t>نقص</w:t>
      </w:r>
      <w:r>
        <w:rPr>
          <w:rFonts w:hint="cs"/>
          <w:rtl/>
        </w:rPr>
        <w:t xml:space="preserve"> أو</w:t>
      </w:r>
      <w:r>
        <w:rPr>
          <w:rtl/>
        </w:rPr>
        <w:t xml:space="preserve"> فرط صوديوم الدم الشديد.</w:t>
      </w:r>
    </w:p>
    <w:p w14:paraId="408E4577" w14:textId="77777777" w:rsidR="004E70DB" w:rsidRDefault="004E70DB" w:rsidP="004E70DB">
      <w:pPr>
        <w:bidi/>
        <w:spacing w:after="0"/>
        <w:rPr>
          <w:rtl/>
        </w:rPr>
      </w:pPr>
    </w:p>
    <w:p w14:paraId="122220A5" w14:textId="2D0BC9A9" w:rsidR="00BD2A02" w:rsidRDefault="00BD2A02" w:rsidP="004E70DB">
      <w:pPr>
        <w:bidi/>
        <w:spacing w:after="0"/>
      </w:pPr>
      <w:r>
        <w:rPr>
          <w:rtl/>
        </w:rPr>
        <w:t xml:space="preserve">يمكن استخدام معادلات المزج لتقدير تركيز الصوديوم النهائي في الدارة، لكن الحساب لا يمثل وحده خطة تصحيح سريرية. يستلزم التطبيق مراقبة الصوديوم المتكررة. </w:t>
      </w:r>
      <w:r w:rsidR="006705CC">
        <w:rPr>
          <w:rFonts w:hint="cs"/>
          <w:rtl/>
        </w:rPr>
        <w:t xml:space="preserve">و </w:t>
      </w:r>
      <w:r>
        <w:rPr>
          <w:rtl/>
        </w:rPr>
        <w:t>يجب احتساب أي</w:t>
      </w:r>
      <w:r>
        <w:t xml:space="preserve"> D5W </w:t>
      </w:r>
      <w:r>
        <w:rPr>
          <w:rtl/>
        </w:rPr>
        <w:t>ضمن مدخول السوائل للمريض</w:t>
      </w:r>
      <w:r>
        <w:t xml:space="preserve"> [1،2].</w:t>
      </w:r>
    </w:p>
    <w:p w14:paraId="343AEA6E" w14:textId="77777777" w:rsidR="00B05DA2" w:rsidRDefault="00B05DA2" w:rsidP="004E70DB">
      <w:pPr>
        <w:bidi/>
        <w:spacing w:after="0"/>
        <w:rPr>
          <w:rtl/>
        </w:rPr>
      </w:pPr>
    </w:p>
    <w:p w14:paraId="00F4B432" w14:textId="77777777" w:rsidR="004E70DB" w:rsidRPr="004E70DB" w:rsidRDefault="004E70DB" w:rsidP="004E70DB">
      <w:pPr>
        <w:bidi/>
        <w:spacing w:after="0"/>
        <w:rPr>
          <w:b/>
          <w:bCs/>
          <w:rtl/>
        </w:rPr>
      </w:pPr>
      <w:r w:rsidRPr="004E70DB">
        <w:rPr>
          <w:b/>
          <w:bCs/>
          <w:rtl/>
        </w:rPr>
        <w:t>تصحيح نقص صوديوم الدم الشديد باستخدام</w:t>
      </w:r>
      <w:r w:rsidRPr="004E70DB">
        <w:rPr>
          <w:b/>
          <w:bCs/>
        </w:rPr>
        <w:t xml:space="preserve"> CKRT</w:t>
      </w:r>
    </w:p>
    <w:p w14:paraId="46B18874" w14:textId="77777777" w:rsidR="004E70DB" w:rsidRDefault="004E70DB" w:rsidP="004E70DB">
      <w:pPr>
        <w:bidi/>
        <w:spacing w:after="0"/>
        <w:rPr>
          <w:rtl/>
        </w:rPr>
      </w:pPr>
      <w:r>
        <w:rPr>
          <w:rtl/>
        </w:rPr>
        <w:t>عند تصحيح نقص صوديوم الدم الشديد، يمكن خفض تركيز الصوديوم الفعّال في المحلول عن طريق</w:t>
      </w:r>
      <w:r>
        <w:t>:</w:t>
      </w:r>
    </w:p>
    <w:p w14:paraId="23CC9D04" w14:textId="0D6A6F13" w:rsidR="004E70DB" w:rsidRDefault="004E70DB" w:rsidP="004E70DB">
      <w:pPr>
        <w:pStyle w:val="Listenabsatz"/>
        <w:numPr>
          <w:ilvl w:val="0"/>
          <w:numId w:val="10"/>
        </w:numPr>
        <w:bidi/>
        <w:spacing w:after="0"/>
        <w:rPr>
          <w:rtl/>
        </w:rPr>
      </w:pPr>
      <w:r>
        <w:rPr>
          <w:rtl/>
        </w:rPr>
        <w:t>تخفيف محلول</w:t>
      </w:r>
      <w:r>
        <w:t xml:space="preserve"> CKRT </w:t>
      </w:r>
      <w:r>
        <w:rPr>
          <w:rtl/>
        </w:rPr>
        <w:t>بإضافة ماء معقم إلى الكيس</w:t>
      </w:r>
      <w:r>
        <w:t>.</w:t>
      </w:r>
    </w:p>
    <w:p w14:paraId="7BB05D58" w14:textId="2DC809FF" w:rsidR="004E70DB" w:rsidRDefault="004E70DB" w:rsidP="004E70DB">
      <w:pPr>
        <w:pStyle w:val="Listenabsatz"/>
        <w:numPr>
          <w:ilvl w:val="0"/>
          <w:numId w:val="10"/>
        </w:numPr>
        <w:bidi/>
        <w:spacing w:after="0"/>
        <w:rPr>
          <w:rtl/>
        </w:rPr>
      </w:pPr>
      <w:r>
        <w:rPr>
          <w:rtl/>
        </w:rPr>
        <w:t>أو إزالة جزء من محلول</w:t>
      </w:r>
      <w:r>
        <w:t xml:space="preserve"> CKRT </w:t>
      </w:r>
      <w:r>
        <w:rPr>
          <w:rtl/>
        </w:rPr>
        <w:t>واستبداله بالماء المعقم</w:t>
      </w:r>
      <w:r>
        <w:t>.</w:t>
      </w:r>
    </w:p>
    <w:p w14:paraId="1116EB6D" w14:textId="5FD8FE87" w:rsidR="004E70DB" w:rsidRDefault="004E70DB" w:rsidP="003653A2">
      <w:pPr>
        <w:bidi/>
        <w:spacing w:after="0"/>
        <w:rPr>
          <w:rtl/>
        </w:rPr>
      </w:pPr>
      <w:r>
        <w:rPr>
          <w:rtl/>
        </w:rPr>
        <w:t>لكن هذه الطريقة تكون عمومًا غير عملية عند استخدام المحاليل التجارية الجاهزة، لأن كميات كبيرة من الماء المعقم لا تكون متوافرة بصورة روتينية في المستشفيات بسبب مخاطر إعطائه جهازيًّا للمريض عن طريق الخطأ</w:t>
      </w:r>
      <w:r w:rsidR="003653A2">
        <w:rPr>
          <w:rFonts w:hint="cs"/>
          <w:rtl/>
        </w:rPr>
        <w:t xml:space="preserve"> ، </w:t>
      </w:r>
      <w:r>
        <w:rPr>
          <w:rtl/>
        </w:rPr>
        <w:t>كما أن إضافة السوائل إلى الأكياس المعقمة الجاهزة أو سحبها منها يحمل مخاطر عدم الدقة</w:t>
      </w:r>
      <w:r w:rsidR="003653A2">
        <w:rPr>
          <w:rFonts w:hint="cs"/>
          <w:rtl/>
        </w:rPr>
        <w:t xml:space="preserve"> أو </w:t>
      </w:r>
      <w:r>
        <w:rPr>
          <w:rtl/>
        </w:rPr>
        <w:t>عدم التعقيم</w:t>
      </w:r>
      <w:r>
        <w:t>.</w:t>
      </w:r>
    </w:p>
    <w:p w14:paraId="4E61CE39" w14:textId="06FE7C5C" w:rsidR="004E70DB" w:rsidRDefault="004E70DB" w:rsidP="003653A2">
      <w:pPr>
        <w:bidi/>
        <w:spacing w:after="0"/>
        <w:rPr>
          <w:rtl/>
        </w:rPr>
      </w:pPr>
      <w:r>
        <w:rPr>
          <w:rtl/>
        </w:rPr>
        <w:t>وقد تكون المؤسسات التي تُحضّر فيها محاليل</w:t>
      </w:r>
      <w:r>
        <w:t xml:space="preserve"> CKRT </w:t>
      </w:r>
      <w:r>
        <w:rPr>
          <w:rtl/>
        </w:rPr>
        <w:t>داخل الصيدلية أكثر قدرةً على تخصيص محاليل منخفضة الصوديوم، إلا أن هذه الطريقة تحمل بدورها خطر</w:t>
      </w:r>
      <w:r w:rsidR="003653A2">
        <w:rPr>
          <w:rFonts w:hint="cs"/>
          <w:rtl/>
        </w:rPr>
        <w:t xml:space="preserve"> </w:t>
      </w:r>
      <w:r>
        <w:rPr>
          <w:rtl/>
        </w:rPr>
        <w:t>أخطاء التحضير</w:t>
      </w:r>
      <w:r w:rsidR="003653A2">
        <w:rPr>
          <w:rFonts w:hint="cs"/>
          <w:rtl/>
        </w:rPr>
        <w:t xml:space="preserve"> </w:t>
      </w:r>
      <w:r>
        <w:rPr>
          <w:rtl/>
        </w:rPr>
        <w:t>والتلوث الميكروبي</w:t>
      </w:r>
      <w:r>
        <w:t>.</w:t>
      </w:r>
    </w:p>
    <w:p w14:paraId="19313D3F" w14:textId="77777777" w:rsidR="004E70DB" w:rsidRDefault="004E70DB" w:rsidP="004E70DB">
      <w:pPr>
        <w:bidi/>
        <w:spacing w:after="0"/>
        <w:rPr>
          <w:rtl/>
        </w:rPr>
      </w:pPr>
    </w:p>
    <w:p w14:paraId="110759E1" w14:textId="77777777" w:rsidR="004E70DB" w:rsidRPr="003653A2" w:rsidRDefault="004E70DB" w:rsidP="004E70DB">
      <w:pPr>
        <w:bidi/>
        <w:spacing w:after="0"/>
        <w:rPr>
          <w:b/>
          <w:bCs/>
          <w:rtl/>
        </w:rPr>
      </w:pPr>
      <w:r w:rsidRPr="003653A2">
        <w:rPr>
          <w:b/>
          <w:bCs/>
          <w:rtl/>
        </w:rPr>
        <w:t>استخدام</w:t>
      </w:r>
      <w:r w:rsidRPr="003653A2">
        <w:rPr>
          <w:b/>
          <w:bCs/>
        </w:rPr>
        <w:t xml:space="preserve"> D5W </w:t>
      </w:r>
      <w:r w:rsidRPr="003653A2">
        <w:rPr>
          <w:b/>
          <w:bCs/>
          <w:rtl/>
        </w:rPr>
        <w:t>لتعديل الصوديوم</w:t>
      </w:r>
    </w:p>
    <w:p w14:paraId="120007A3" w14:textId="26C204ED" w:rsidR="004E70DB" w:rsidRDefault="004E70DB" w:rsidP="003653A2">
      <w:pPr>
        <w:bidi/>
        <w:spacing w:after="0"/>
      </w:pPr>
      <w:r>
        <w:rPr>
          <w:rtl/>
        </w:rPr>
        <w:t>هناك طريقة أخرى عند استخدام المحاليل التجارية الجاهزة، وهي إعطاء ضخ إضافي من</w:t>
      </w:r>
      <w:r w:rsidR="003653A2">
        <w:rPr>
          <w:rFonts w:hint="cs"/>
          <w:rtl/>
        </w:rPr>
        <w:t xml:space="preserve"> </w:t>
      </w:r>
      <w:r>
        <w:t>Dextrose 5% in Water – D5W</w:t>
      </w:r>
    </w:p>
    <w:p w14:paraId="5C77613F" w14:textId="631A1E74" w:rsidR="004E70DB" w:rsidRDefault="004E70DB" w:rsidP="003653A2">
      <w:pPr>
        <w:bidi/>
        <w:spacing w:after="0"/>
        <w:rPr>
          <w:rtl/>
        </w:rPr>
      </w:pPr>
      <w:r>
        <w:rPr>
          <w:rtl/>
        </w:rPr>
        <w:t>ويمكن إعطاؤه</w:t>
      </w:r>
      <w:r w:rsidR="003653A2">
        <w:rPr>
          <w:rFonts w:hint="cs"/>
          <w:rtl/>
        </w:rPr>
        <w:t xml:space="preserve"> </w:t>
      </w:r>
      <w:r>
        <w:rPr>
          <w:rtl/>
        </w:rPr>
        <w:t>داخل دارة</w:t>
      </w:r>
      <w:r>
        <w:t xml:space="preserve"> CKRT</w:t>
      </w:r>
      <w:r>
        <w:rPr>
          <w:rtl/>
        </w:rPr>
        <w:t>، عادةً بعد الفلتر</w:t>
      </w:r>
      <w:r>
        <w:tab/>
      </w:r>
      <w:r>
        <w:rPr>
          <w:rtl/>
        </w:rPr>
        <w:t>أو عن طريق ضخ جهازي منفصل</w:t>
      </w:r>
      <w:r>
        <w:t>.</w:t>
      </w:r>
    </w:p>
    <w:p w14:paraId="6CBF7E88" w14:textId="77777777" w:rsidR="003653A2" w:rsidRDefault="003653A2" w:rsidP="004E70DB">
      <w:pPr>
        <w:bidi/>
        <w:spacing w:after="0"/>
        <w:rPr>
          <w:rtl/>
        </w:rPr>
      </w:pPr>
    </w:p>
    <w:p w14:paraId="6ADA857A" w14:textId="7C0F29B2" w:rsidR="004E70DB" w:rsidRDefault="004E70DB" w:rsidP="003653A2">
      <w:pPr>
        <w:bidi/>
        <w:spacing w:after="0"/>
        <w:rPr>
          <w:rtl/>
        </w:rPr>
      </w:pPr>
      <w:r>
        <w:rPr>
          <w:rtl/>
        </w:rPr>
        <w:t>لدى المرضى المصابين بنقص صوديوم الدم، يمكن حساب حجم</w:t>
      </w:r>
      <w:r>
        <w:t xml:space="preserve"> D5W </w:t>
      </w:r>
      <w:r>
        <w:rPr>
          <w:rtl/>
        </w:rPr>
        <w:t>المطلوب إعطاؤه باللتر في الساعة للوصول إلى تركيز الصوديوم المستهدف وفق المعادلة</w:t>
      </w:r>
      <w:r>
        <w:t>:</w:t>
      </w:r>
    </w:p>
    <w:p w14:paraId="5C3F801F" w14:textId="77777777" w:rsidR="004E70DB" w:rsidRPr="004E70DB" w:rsidRDefault="004E70DB" w:rsidP="004E70DB">
      <w:pPr>
        <w:bidi/>
        <w:spacing w:after="0"/>
        <w:rPr>
          <w:lang w:val="de-DE"/>
        </w:rPr>
      </w:pPr>
      <w:r w:rsidRPr="004E70DB">
        <w:rPr>
          <w:lang w:val="de-DE"/>
        </w:rPr>
        <w:t xml:space="preserve">VD5W = </w:t>
      </w:r>
      <w:proofErr w:type="spellStart"/>
      <w:r w:rsidRPr="004E70DB">
        <w:rPr>
          <w:lang w:val="de-DE"/>
        </w:rPr>
        <w:t>Qef</w:t>
      </w:r>
      <w:proofErr w:type="spellEnd"/>
      <w:r w:rsidRPr="004E70DB">
        <w:rPr>
          <w:lang w:val="de-DE"/>
        </w:rPr>
        <w:t xml:space="preserve"> × ([Na</w:t>
      </w:r>
      <w:r w:rsidRPr="004E70DB">
        <w:rPr>
          <w:rFonts w:ascii="Cambria Math" w:hAnsi="Cambria Math" w:cs="Cambria Math"/>
          <w:lang w:val="de-DE"/>
        </w:rPr>
        <w:t>⁺</w:t>
      </w:r>
      <w:r w:rsidRPr="004E70DB">
        <w:rPr>
          <w:lang w:val="de-DE"/>
        </w:rPr>
        <w:t>]CKRT − [Na</w:t>
      </w:r>
      <w:r w:rsidRPr="004E70DB">
        <w:rPr>
          <w:rFonts w:ascii="Cambria Math" w:hAnsi="Cambria Math" w:cs="Cambria Math"/>
          <w:lang w:val="de-DE"/>
        </w:rPr>
        <w:t>⁺</w:t>
      </w:r>
      <w:r w:rsidRPr="004E70DB">
        <w:rPr>
          <w:lang w:val="de-DE"/>
        </w:rPr>
        <w:t>]T) / [Na</w:t>
      </w:r>
      <w:r w:rsidRPr="004E70DB">
        <w:rPr>
          <w:rFonts w:ascii="Cambria Math" w:hAnsi="Cambria Math" w:cs="Cambria Math"/>
          <w:lang w:val="de-DE"/>
        </w:rPr>
        <w:t>⁺</w:t>
      </w:r>
      <w:r w:rsidRPr="004E70DB">
        <w:rPr>
          <w:lang w:val="de-DE"/>
        </w:rPr>
        <w:t>]T</w:t>
      </w:r>
    </w:p>
    <w:p w14:paraId="0B230732" w14:textId="77777777" w:rsidR="004E70DB" w:rsidRDefault="004E70DB" w:rsidP="004E70DB">
      <w:pPr>
        <w:bidi/>
        <w:spacing w:after="0"/>
        <w:rPr>
          <w:rtl/>
        </w:rPr>
      </w:pPr>
      <w:r>
        <w:rPr>
          <w:rtl/>
        </w:rPr>
        <w:t>حيث</w:t>
      </w:r>
      <w:r>
        <w:t>:</w:t>
      </w:r>
    </w:p>
    <w:p w14:paraId="59D7CC26" w14:textId="7DECE2CE" w:rsidR="004E70DB" w:rsidRDefault="003653A2" w:rsidP="003653A2">
      <w:pPr>
        <w:bidi/>
        <w:spacing w:after="0"/>
        <w:rPr>
          <w:rtl/>
        </w:rPr>
      </w:pPr>
      <w:r>
        <w:rPr>
          <w:rFonts w:hint="cs"/>
          <w:rtl/>
        </w:rPr>
        <w:t xml:space="preserve">الـ </w:t>
      </w:r>
      <w:r w:rsidR="004E70DB">
        <w:t xml:space="preserve">VD5W </w:t>
      </w:r>
      <w:r>
        <w:rPr>
          <w:rFonts w:hint="cs"/>
          <w:rtl/>
        </w:rPr>
        <w:t xml:space="preserve"> </w:t>
      </w:r>
      <w:r w:rsidR="004E70DB">
        <w:rPr>
          <w:rtl/>
        </w:rPr>
        <w:t>حجم</w:t>
      </w:r>
      <w:r w:rsidR="004E70DB">
        <w:t xml:space="preserve"> D5W </w:t>
      </w:r>
      <w:r w:rsidR="004E70DB">
        <w:rPr>
          <w:rtl/>
        </w:rPr>
        <w:t>باللتر/ساعة</w:t>
      </w:r>
      <w:r w:rsidR="004E70DB">
        <w:t>.</w:t>
      </w:r>
    </w:p>
    <w:p w14:paraId="46BFB67B" w14:textId="292A38CF" w:rsidR="004E70DB" w:rsidRDefault="004E70DB" w:rsidP="004E70DB">
      <w:pPr>
        <w:bidi/>
        <w:spacing w:after="0"/>
        <w:rPr>
          <w:rtl/>
        </w:rPr>
      </w:pPr>
      <w:proofErr w:type="spellStart"/>
      <w:r>
        <w:t>Qef</w:t>
      </w:r>
      <w:proofErr w:type="spellEnd"/>
      <w:r w:rsidR="003653A2">
        <w:rPr>
          <w:rFonts w:hint="cs"/>
          <w:rtl/>
        </w:rPr>
        <w:t xml:space="preserve"> </w:t>
      </w:r>
      <w:r>
        <w:rPr>
          <w:rtl/>
        </w:rPr>
        <w:t>معدل التدفق الكلي للسائل الخارج باللتر/ساعة</w:t>
      </w:r>
      <w:r>
        <w:t>.</w:t>
      </w:r>
    </w:p>
    <w:p w14:paraId="43C85D02" w14:textId="581019FF" w:rsidR="004E70DB" w:rsidRDefault="004E70DB" w:rsidP="004E70DB">
      <w:pPr>
        <w:bidi/>
        <w:spacing w:after="0"/>
        <w:rPr>
          <w:rtl/>
        </w:rPr>
      </w:pPr>
      <w:r>
        <w:t>[Na</w:t>
      </w:r>
      <w:r>
        <w:rPr>
          <w:rFonts w:ascii="Cambria Math" w:hAnsi="Cambria Math" w:cs="Cambria Math"/>
        </w:rPr>
        <w:t>⁺</w:t>
      </w:r>
      <w:r>
        <w:t>]</w:t>
      </w:r>
      <w:r w:rsidR="003653A2">
        <w:rPr>
          <w:rFonts w:hint="cs"/>
          <w:rtl/>
        </w:rPr>
        <w:t xml:space="preserve"> </w:t>
      </w:r>
      <w:r>
        <w:rPr>
          <w:rtl/>
        </w:rPr>
        <w:t>تركيز الصوديوم في سائل الديال و/أو محلول التعويض</w:t>
      </w:r>
      <w:r>
        <w:t>.</w:t>
      </w:r>
    </w:p>
    <w:p w14:paraId="78A4E4C6" w14:textId="7D844565" w:rsidR="004E70DB" w:rsidRDefault="004E70DB" w:rsidP="004E70DB">
      <w:pPr>
        <w:bidi/>
        <w:spacing w:after="0"/>
        <w:rPr>
          <w:rtl/>
        </w:rPr>
      </w:pPr>
      <w:r>
        <w:t>[Na</w:t>
      </w:r>
      <w:r>
        <w:rPr>
          <w:rFonts w:ascii="Cambria Math" w:hAnsi="Cambria Math" w:cs="Cambria Math"/>
        </w:rPr>
        <w:t>⁺</w:t>
      </w:r>
      <w:r>
        <w:t>]T</w:t>
      </w:r>
      <w:r w:rsidR="003653A2">
        <w:rPr>
          <w:rFonts w:hint="cs"/>
          <w:rtl/>
        </w:rPr>
        <w:t xml:space="preserve"> </w:t>
      </w:r>
      <w:r>
        <w:rPr>
          <w:rtl/>
        </w:rPr>
        <w:t>تركيز الصوديوم المستهدف</w:t>
      </w:r>
      <w:r>
        <w:t>.</w:t>
      </w:r>
    </w:p>
    <w:p w14:paraId="4F7572FE" w14:textId="77777777" w:rsidR="003653A2" w:rsidRDefault="003653A2" w:rsidP="004E70DB">
      <w:pPr>
        <w:bidi/>
        <w:spacing w:after="0"/>
        <w:rPr>
          <w:rtl/>
        </w:rPr>
      </w:pPr>
    </w:p>
    <w:p w14:paraId="68E971F8" w14:textId="56672EA6" w:rsidR="004E70DB" w:rsidRPr="003653A2" w:rsidRDefault="004E70DB" w:rsidP="003653A2">
      <w:pPr>
        <w:bidi/>
        <w:spacing w:after="0"/>
        <w:rPr>
          <w:b/>
          <w:bCs/>
          <w:rtl/>
        </w:rPr>
      </w:pPr>
      <w:r w:rsidRPr="003653A2">
        <w:rPr>
          <w:b/>
          <w:bCs/>
          <w:rtl/>
        </w:rPr>
        <w:lastRenderedPageBreak/>
        <w:t>مثال</w:t>
      </w:r>
    </w:p>
    <w:p w14:paraId="03CBBE22" w14:textId="427243BA" w:rsidR="004E70DB" w:rsidRDefault="004E70DB" w:rsidP="003653A2">
      <w:pPr>
        <w:bidi/>
        <w:spacing w:after="0"/>
        <w:rPr>
          <w:rtl/>
        </w:rPr>
      </w:pPr>
      <w:r>
        <w:rPr>
          <w:rtl/>
        </w:rPr>
        <w:t>إذا أردنا الوصول إلى تركيز صوديوم</w:t>
      </w:r>
      <w:r w:rsidR="003653A2">
        <w:rPr>
          <w:rFonts w:hint="cs"/>
          <w:rtl/>
        </w:rPr>
        <w:t xml:space="preserve"> </w:t>
      </w:r>
      <w:r>
        <w:rPr>
          <w:rtl/>
        </w:rPr>
        <w:t>125</w:t>
      </w:r>
      <w:r w:rsidR="003653A2">
        <w:rPr>
          <w:rFonts w:hint="cs"/>
          <w:rtl/>
        </w:rPr>
        <w:t xml:space="preserve"> ممول/ل </w:t>
      </w:r>
      <w:r>
        <w:rPr>
          <w:rtl/>
        </w:rPr>
        <w:t>باستخدام محلول</w:t>
      </w:r>
      <w:r>
        <w:t xml:space="preserve"> CKRT </w:t>
      </w:r>
      <w:r>
        <w:rPr>
          <w:rtl/>
        </w:rPr>
        <w:t>يحتوي على</w:t>
      </w:r>
      <w:r w:rsidR="003653A2">
        <w:rPr>
          <w:rFonts w:hint="cs"/>
          <w:rtl/>
        </w:rPr>
        <w:t xml:space="preserve"> صوديوم بتركيز </w:t>
      </w:r>
      <w:r>
        <w:rPr>
          <w:rtl/>
        </w:rPr>
        <w:t>140</w:t>
      </w:r>
      <w:r w:rsidR="003653A2">
        <w:rPr>
          <w:rFonts w:hint="cs"/>
          <w:rtl/>
        </w:rPr>
        <w:t xml:space="preserve"> ممول/ل </w:t>
      </w:r>
      <w:r>
        <w:rPr>
          <w:rtl/>
        </w:rPr>
        <w:t>ومعدل سائل خارج كلي</w:t>
      </w:r>
      <w:r w:rsidR="003653A2">
        <w:rPr>
          <w:rFonts w:hint="cs"/>
          <w:rtl/>
        </w:rPr>
        <w:t xml:space="preserve"> </w:t>
      </w:r>
      <w:r>
        <w:rPr>
          <w:rtl/>
        </w:rPr>
        <w:t>2.5</w:t>
      </w:r>
      <w:r w:rsidR="003653A2">
        <w:rPr>
          <w:rFonts w:hint="cs"/>
          <w:rtl/>
        </w:rPr>
        <w:t xml:space="preserve"> لتر/ساعة </w:t>
      </w:r>
      <w:r>
        <w:rPr>
          <w:rtl/>
        </w:rPr>
        <w:t>فإن</w:t>
      </w:r>
      <w:r>
        <w:t>:</w:t>
      </w:r>
    </w:p>
    <w:p w14:paraId="3A49E383" w14:textId="77777777" w:rsidR="004E70DB" w:rsidRDefault="004E70DB" w:rsidP="004E70DB">
      <w:pPr>
        <w:bidi/>
        <w:spacing w:after="0"/>
      </w:pPr>
      <w:r>
        <w:t>VD5W = 2.5 × (140 − 125) / 125</w:t>
      </w:r>
    </w:p>
    <w:p w14:paraId="3FA9E52B" w14:textId="77777777" w:rsidR="004E70DB" w:rsidRDefault="004E70DB" w:rsidP="004E70DB">
      <w:pPr>
        <w:bidi/>
        <w:spacing w:after="0"/>
      </w:pPr>
      <w:r>
        <w:t>= 0.3 L/h</w:t>
      </w:r>
    </w:p>
    <w:p w14:paraId="73C96E85" w14:textId="77777777" w:rsidR="004E70DB" w:rsidRDefault="004E70DB" w:rsidP="004E70DB">
      <w:pPr>
        <w:bidi/>
        <w:spacing w:after="0"/>
        <w:rPr>
          <w:rtl/>
        </w:rPr>
      </w:pPr>
      <w:r>
        <w:rPr>
          <w:rtl/>
        </w:rPr>
        <w:t>أي</w:t>
      </w:r>
      <w:r>
        <w:t>:</w:t>
      </w:r>
    </w:p>
    <w:p w14:paraId="11A1E499" w14:textId="77777777" w:rsidR="004E70DB" w:rsidRDefault="004E70DB" w:rsidP="004E70DB">
      <w:pPr>
        <w:bidi/>
        <w:spacing w:after="0"/>
        <w:rPr>
          <w:rtl/>
        </w:rPr>
      </w:pPr>
      <w:r>
        <w:rPr>
          <w:rtl/>
        </w:rPr>
        <w:t>300</w:t>
      </w:r>
      <w:r>
        <w:t xml:space="preserve"> </w:t>
      </w:r>
      <w:r>
        <w:rPr>
          <w:rtl/>
        </w:rPr>
        <w:t>مل/ساعة من</w:t>
      </w:r>
      <w:r>
        <w:t xml:space="preserve"> D5W</w:t>
      </w:r>
    </w:p>
    <w:p w14:paraId="0ACB73DD" w14:textId="77777777" w:rsidR="004E70DB" w:rsidRDefault="004E70DB" w:rsidP="004E70DB">
      <w:pPr>
        <w:bidi/>
        <w:spacing w:after="0"/>
        <w:rPr>
          <w:rtl/>
        </w:rPr>
      </w:pPr>
      <w:r>
        <w:rPr>
          <w:rtl/>
        </w:rPr>
        <w:t>ويُزال الحجم الإضافي من</w:t>
      </w:r>
      <w:r>
        <w:t xml:space="preserve"> D5W </w:t>
      </w:r>
      <w:r>
        <w:rPr>
          <w:rtl/>
        </w:rPr>
        <w:t>بصورة مستمرة عن طريق الترشيح الفائق وفق معدل الترشيح الفائق الصافي المطلوب</w:t>
      </w:r>
      <w:r>
        <w:t>.</w:t>
      </w:r>
    </w:p>
    <w:p w14:paraId="3A289431" w14:textId="77777777" w:rsidR="004E70DB" w:rsidRDefault="004E70DB" w:rsidP="004E70DB">
      <w:pPr>
        <w:bidi/>
        <w:spacing w:after="0"/>
        <w:rPr>
          <w:rtl/>
        </w:rPr>
      </w:pPr>
    </w:p>
    <w:p w14:paraId="41C9EA67" w14:textId="77777777" w:rsidR="004E70DB" w:rsidRPr="003653A2" w:rsidRDefault="004E70DB" w:rsidP="004E70DB">
      <w:pPr>
        <w:bidi/>
        <w:spacing w:after="0"/>
        <w:rPr>
          <w:b/>
          <w:bCs/>
          <w:rtl/>
        </w:rPr>
      </w:pPr>
      <w:r w:rsidRPr="003653A2">
        <w:rPr>
          <w:b/>
          <w:bCs/>
          <w:rtl/>
        </w:rPr>
        <w:t>رفع تركيز الصوديوم الفعّال</w:t>
      </w:r>
    </w:p>
    <w:p w14:paraId="7A3239A5" w14:textId="77777777" w:rsidR="004E70DB" w:rsidRDefault="004E70DB" w:rsidP="004E70DB">
      <w:pPr>
        <w:bidi/>
        <w:spacing w:after="0"/>
        <w:rPr>
          <w:rtl/>
        </w:rPr>
      </w:pPr>
      <w:r>
        <w:rPr>
          <w:rtl/>
        </w:rPr>
        <w:t>عندما تكون هناك حاجة إلى محاليل</w:t>
      </w:r>
      <w:r>
        <w:t xml:space="preserve"> CKRT </w:t>
      </w:r>
      <w:r>
        <w:rPr>
          <w:rtl/>
        </w:rPr>
        <w:t>ذات تركيز صوديوم فعّال مرتفع، إما لتصحيح فرط صوديوم الدم الشديد بصورة تدريجية أو لتحقيق فرط صوديوم علاجي ، فيمكن استخدام المحلول الملحي مفرط التوتر بإحدى طريقتين</w:t>
      </w:r>
      <w:r>
        <w:t>:</w:t>
      </w:r>
    </w:p>
    <w:p w14:paraId="73DA730A" w14:textId="77777777" w:rsidR="004E70DB" w:rsidRDefault="004E70DB" w:rsidP="005C0BF2">
      <w:pPr>
        <w:pStyle w:val="Listenabsatz"/>
        <w:numPr>
          <w:ilvl w:val="0"/>
          <w:numId w:val="11"/>
        </w:numPr>
        <w:bidi/>
        <w:spacing w:after="0"/>
        <w:rPr>
          <w:rtl/>
        </w:rPr>
      </w:pPr>
      <w:r>
        <w:rPr>
          <w:rtl/>
        </w:rPr>
        <w:t>إضافته إلى محاليل</w:t>
      </w:r>
      <w:r>
        <w:t xml:space="preserve"> CKRT</w:t>
      </w:r>
      <w:r>
        <w:rPr>
          <w:rtl/>
        </w:rPr>
        <w:t>، عادةً باستخدام كلوريد الصوديوم 23.4</w:t>
      </w:r>
      <w:r>
        <w:t>%.</w:t>
      </w:r>
    </w:p>
    <w:p w14:paraId="1E7C2977" w14:textId="77777777" w:rsidR="004E70DB" w:rsidRDefault="004E70DB" w:rsidP="005C0BF2">
      <w:pPr>
        <w:pStyle w:val="Listenabsatz"/>
        <w:numPr>
          <w:ilvl w:val="0"/>
          <w:numId w:val="11"/>
        </w:numPr>
        <w:bidi/>
        <w:spacing w:after="0"/>
        <w:rPr>
          <w:rtl/>
        </w:rPr>
      </w:pPr>
      <w:r>
        <w:rPr>
          <w:rtl/>
        </w:rPr>
        <w:t>أو ضخه داخل دارة</w:t>
      </w:r>
      <w:r>
        <w:t xml:space="preserve"> CKRT </w:t>
      </w:r>
      <w:r>
        <w:rPr>
          <w:rtl/>
        </w:rPr>
        <w:t>أو جهازيًّا، عادةً باستخدام كلوريد الصوديوم 3</w:t>
      </w:r>
      <w:r>
        <w:t>%.</w:t>
      </w:r>
    </w:p>
    <w:p w14:paraId="1C4F8430" w14:textId="77777777" w:rsidR="004E70DB" w:rsidRDefault="004E70DB" w:rsidP="004E70DB">
      <w:pPr>
        <w:bidi/>
        <w:spacing w:after="0"/>
        <w:rPr>
          <w:rtl/>
        </w:rPr>
      </w:pPr>
    </w:p>
    <w:p w14:paraId="318EE3A1" w14:textId="77777777" w:rsidR="004E70DB" w:rsidRPr="005C0BF2" w:rsidRDefault="004E70DB" w:rsidP="004E70DB">
      <w:pPr>
        <w:bidi/>
        <w:spacing w:after="0"/>
        <w:rPr>
          <w:b/>
          <w:bCs/>
          <w:sz w:val="24"/>
          <w:szCs w:val="24"/>
          <w:rtl/>
        </w:rPr>
      </w:pPr>
      <w:r w:rsidRPr="005C0BF2">
        <w:rPr>
          <w:b/>
          <w:bCs/>
          <w:sz w:val="24"/>
          <w:szCs w:val="24"/>
          <w:rtl/>
        </w:rPr>
        <w:t>مثال</w:t>
      </w:r>
    </w:p>
    <w:p w14:paraId="370CC4F7" w14:textId="67396EE9" w:rsidR="004E70DB" w:rsidRDefault="004E70DB" w:rsidP="005C0BF2">
      <w:pPr>
        <w:bidi/>
        <w:spacing w:after="0"/>
        <w:rPr>
          <w:rtl/>
        </w:rPr>
      </w:pPr>
      <w:r>
        <w:rPr>
          <w:rtl/>
        </w:rPr>
        <w:t>لدى مريض وزنه 60 كغ، فإن جرعة مناسبة من السائل الخارج بمعدل 25  مل/كغ/ساعة</w:t>
      </w:r>
      <w:r w:rsidR="005C0BF2">
        <w:rPr>
          <w:rFonts w:hint="cs"/>
          <w:rtl/>
        </w:rPr>
        <w:t xml:space="preserve"> ، </w:t>
      </w:r>
      <w:r>
        <w:rPr>
          <w:rtl/>
        </w:rPr>
        <w:t>تساوي 1,500  مل/ساعة</w:t>
      </w:r>
    </w:p>
    <w:p w14:paraId="4551D981" w14:textId="4E05A522" w:rsidR="004E70DB" w:rsidRDefault="004E70DB" w:rsidP="005C0BF2">
      <w:pPr>
        <w:bidi/>
        <w:spacing w:after="0"/>
        <w:rPr>
          <w:rtl/>
        </w:rPr>
      </w:pPr>
      <w:r>
        <w:rPr>
          <w:rtl/>
        </w:rPr>
        <w:t>وبوجود صوديوم بتركيز</w:t>
      </w:r>
      <w:r w:rsidR="005C0BF2">
        <w:rPr>
          <w:rFonts w:hint="cs"/>
          <w:rtl/>
        </w:rPr>
        <w:t xml:space="preserve"> </w:t>
      </w:r>
      <w:r>
        <w:rPr>
          <w:rtl/>
        </w:rPr>
        <w:t>140</w:t>
      </w:r>
      <w:r>
        <w:t xml:space="preserve"> </w:t>
      </w:r>
      <w:r w:rsidR="005C0BF2">
        <w:rPr>
          <w:rFonts w:hint="cs"/>
          <w:rtl/>
        </w:rPr>
        <w:t>ممول/</w:t>
      </w:r>
      <w:r w:rsidR="00D858E2">
        <w:rPr>
          <w:rFonts w:hint="cs"/>
          <w:rtl/>
        </w:rPr>
        <w:t xml:space="preserve">ل في </w:t>
      </w:r>
      <w:r>
        <w:rPr>
          <w:rtl/>
        </w:rPr>
        <w:t>محلول</w:t>
      </w:r>
      <w:r>
        <w:t xml:space="preserve"> CKRT </w:t>
      </w:r>
      <w:r w:rsidR="00D858E2">
        <w:rPr>
          <w:rFonts w:hint="cs"/>
          <w:rtl/>
        </w:rPr>
        <w:t xml:space="preserve">فإنّ : </w:t>
      </w:r>
    </w:p>
    <w:p w14:paraId="7D336CEC" w14:textId="33ABB33C" w:rsidR="004E70DB" w:rsidRDefault="004E70DB" w:rsidP="00D858E2">
      <w:pPr>
        <w:bidi/>
        <w:spacing w:after="0"/>
        <w:rPr>
          <w:rtl/>
        </w:rPr>
      </w:pPr>
      <w:r>
        <w:rPr>
          <w:rtl/>
        </w:rPr>
        <w:t>140</w:t>
      </w:r>
      <w:r w:rsidR="00D858E2">
        <w:rPr>
          <w:rFonts w:hint="cs"/>
          <w:rtl/>
        </w:rPr>
        <w:t xml:space="preserve"> ممول/ل  تسرب خلال (</w:t>
      </w:r>
      <w:r>
        <w:t>1.5</w:t>
      </w:r>
      <w:r w:rsidR="00D858E2">
        <w:rPr>
          <w:rFonts w:hint="cs"/>
          <w:rtl/>
        </w:rPr>
        <w:t xml:space="preserve"> لتر/ساعة) تعني </w:t>
      </w:r>
      <w:r w:rsidRPr="00D858E2">
        <w:rPr>
          <w:b/>
          <w:bCs/>
        </w:rPr>
        <w:t xml:space="preserve">210 </w:t>
      </w:r>
      <w:r w:rsidR="00D858E2" w:rsidRPr="00D858E2">
        <w:rPr>
          <w:rFonts w:hint="cs"/>
          <w:b/>
          <w:bCs/>
          <w:rtl/>
        </w:rPr>
        <w:t xml:space="preserve"> ممول/ساعة</w:t>
      </w:r>
      <w:r w:rsidR="00D858E2">
        <w:rPr>
          <w:rFonts w:hint="cs"/>
          <w:rtl/>
        </w:rPr>
        <w:t xml:space="preserve"> </w:t>
      </w:r>
      <w:r>
        <w:rPr>
          <w:rtl/>
        </w:rPr>
        <w:t>من الصوديوم</w:t>
      </w:r>
      <w:r w:rsidR="00D858E2">
        <w:rPr>
          <w:rFonts w:hint="cs"/>
          <w:rtl/>
        </w:rPr>
        <w:t xml:space="preserve"> ، </w:t>
      </w:r>
      <w:r>
        <w:rPr>
          <w:rtl/>
        </w:rPr>
        <w:t>بغض النظر عن نمط</w:t>
      </w:r>
      <w:r>
        <w:t xml:space="preserve"> CKRT </w:t>
      </w:r>
      <w:r>
        <w:rPr>
          <w:rtl/>
        </w:rPr>
        <w:t>المستخدم</w:t>
      </w:r>
      <w:r>
        <w:t>.</w:t>
      </w:r>
    </w:p>
    <w:p w14:paraId="38E69A89" w14:textId="77777777" w:rsidR="004E70DB" w:rsidRDefault="004E70DB" w:rsidP="004E70DB">
      <w:pPr>
        <w:bidi/>
        <w:spacing w:after="0"/>
        <w:rPr>
          <w:rtl/>
        </w:rPr>
      </w:pPr>
      <w:r>
        <w:rPr>
          <w:rtl/>
        </w:rPr>
        <w:t xml:space="preserve">يمكن بعد ذلك ضخ محلول كلوريد الصوديوم 3% بمعدل: </w:t>
      </w:r>
      <w:r w:rsidRPr="00D858E2">
        <w:rPr>
          <w:b/>
          <w:bCs/>
          <w:rtl/>
        </w:rPr>
        <w:t>50  مل/ساعة</w:t>
      </w:r>
    </w:p>
    <w:p w14:paraId="01C35CE7" w14:textId="77777777" w:rsidR="004E70DB" w:rsidRDefault="004E70DB" w:rsidP="004E70DB">
      <w:pPr>
        <w:bidi/>
        <w:spacing w:after="0"/>
        <w:rPr>
          <w:rtl/>
        </w:rPr>
      </w:pPr>
      <w:r>
        <w:rPr>
          <w:rtl/>
        </w:rPr>
        <w:t>سواء داخل دارة الـ</w:t>
      </w:r>
      <w:r>
        <w:t xml:space="preserve"> CKRT  </w:t>
      </w:r>
      <w:r>
        <w:rPr>
          <w:rtl/>
        </w:rPr>
        <w:t>وغالبًا بوصفه محلول تعويض بعد الفلتر أو عبر خط وريدي منفصل</w:t>
      </w:r>
      <w:r>
        <w:t>.</w:t>
      </w:r>
    </w:p>
    <w:p w14:paraId="446AA8CE" w14:textId="742287FF" w:rsidR="004E70DB" w:rsidRDefault="004E70DB" w:rsidP="00D858E2">
      <w:pPr>
        <w:bidi/>
        <w:spacing w:after="0"/>
        <w:rPr>
          <w:rtl/>
        </w:rPr>
      </w:pPr>
      <w:r>
        <w:rPr>
          <w:rtl/>
        </w:rPr>
        <w:t>ويحتوي كلوريد الصوديوم 3% على 513</w:t>
      </w:r>
      <w:r w:rsidR="00D858E2">
        <w:rPr>
          <w:rFonts w:hint="cs"/>
          <w:rtl/>
        </w:rPr>
        <w:t xml:space="preserve"> ممول/لتر </w:t>
      </w:r>
    </w:p>
    <w:p w14:paraId="788D9526" w14:textId="77777777" w:rsidR="00D858E2" w:rsidRDefault="00D858E2" w:rsidP="00D858E2">
      <w:pPr>
        <w:bidi/>
        <w:spacing w:after="0"/>
        <w:rPr>
          <w:rtl/>
        </w:rPr>
      </w:pPr>
    </w:p>
    <w:p w14:paraId="4ADAADCB" w14:textId="3B37A4AE" w:rsidR="004E70DB" w:rsidRDefault="004E70DB" w:rsidP="004E70DB">
      <w:pPr>
        <w:bidi/>
        <w:spacing w:after="0"/>
        <w:rPr>
          <w:rtl/>
        </w:rPr>
      </w:pPr>
      <w:r>
        <w:rPr>
          <w:rtl/>
        </w:rPr>
        <w:t>وبالتالي</w:t>
      </w:r>
      <w:r w:rsidR="00D858E2">
        <w:rPr>
          <w:rFonts w:hint="cs"/>
          <w:rtl/>
        </w:rPr>
        <w:t xml:space="preserve"> تكون كمية الصوديوم الإضافي المسرب بسرعة 50 مل/ساعة هي: </w:t>
      </w:r>
    </w:p>
    <w:p w14:paraId="30985143" w14:textId="53DFB853" w:rsidR="004E70DB" w:rsidRDefault="004E70DB" w:rsidP="00D858E2">
      <w:pPr>
        <w:bidi/>
        <w:spacing w:after="0"/>
        <w:rPr>
          <w:rtl/>
        </w:rPr>
      </w:pPr>
      <w:r>
        <w:rPr>
          <w:rtl/>
        </w:rPr>
        <w:t>513</w:t>
      </w:r>
      <w:r w:rsidR="00D858E2">
        <w:rPr>
          <w:rFonts w:hint="cs"/>
          <w:rtl/>
        </w:rPr>
        <w:t xml:space="preserve"> ممول/لتر  مضروبة بـ </w:t>
      </w:r>
      <w:r>
        <w:t>0.05</w:t>
      </w:r>
      <w:r w:rsidR="00D858E2">
        <w:rPr>
          <w:rFonts w:hint="cs"/>
          <w:rtl/>
        </w:rPr>
        <w:t xml:space="preserve"> لتر/ساعة (50 مل/ساعة) هي: </w:t>
      </w:r>
      <w:r w:rsidRPr="00D858E2">
        <w:rPr>
          <w:b/>
          <w:bCs/>
        </w:rPr>
        <w:t xml:space="preserve">25.7 </w:t>
      </w:r>
      <w:r w:rsidR="00D858E2" w:rsidRPr="00D858E2">
        <w:rPr>
          <w:rFonts w:hint="cs"/>
          <w:b/>
          <w:bCs/>
          <w:rtl/>
        </w:rPr>
        <w:t xml:space="preserve"> ممول/ساعة</w:t>
      </w:r>
      <w:r w:rsidR="00D858E2">
        <w:rPr>
          <w:rFonts w:hint="cs"/>
          <w:rtl/>
        </w:rPr>
        <w:t xml:space="preserve"> </w:t>
      </w:r>
      <w:r>
        <w:rPr>
          <w:rtl/>
        </w:rPr>
        <w:t>من الصوديوم الإضافي</w:t>
      </w:r>
    </w:p>
    <w:p w14:paraId="5E7233E1" w14:textId="77777777" w:rsidR="004E70DB" w:rsidRDefault="004E70DB" w:rsidP="004E70DB">
      <w:pPr>
        <w:bidi/>
        <w:spacing w:after="0"/>
        <w:rPr>
          <w:rtl/>
        </w:rPr>
      </w:pPr>
    </w:p>
    <w:p w14:paraId="6D4B84BD" w14:textId="1E451D43" w:rsidR="004E70DB" w:rsidRDefault="004E70DB" w:rsidP="00D858E2">
      <w:pPr>
        <w:bidi/>
        <w:spacing w:after="0"/>
      </w:pPr>
      <w:r>
        <w:rPr>
          <w:rtl/>
        </w:rPr>
        <w:t>وبالجمع بين المصدرين</w:t>
      </w:r>
      <w:r w:rsidR="00451BF0">
        <w:rPr>
          <w:rFonts w:hint="cs"/>
          <w:rtl/>
        </w:rPr>
        <w:t xml:space="preserve"> نحصل على:</w:t>
      </w:r>
      <w:r w:rsidR="00D858E2">
        <w:rPr>
          <w:rFonts w:hint="cs"/>
          <w:rtl/>
        </w:rPr>
        <w:t xml:space="preserve"> </w:t>
      </w:r>
      <w:r>
        <w:rPr>
          <w:rtl/>
        </w:rPr>
        <w:t>210</w:t>
      </w:r>
      <w:r w:rsidR="00D858E2">
        <w:rPr>
          <w:rFonts w:hint="cs"/>
          <w:rtl/>
        </w:rPr>
        <w:t xml:space="preserve"> ممول/ساعة  (من محلول الغسيل)</w:t>
      </w:r>
      <w:r w:rsidR="00451BF0">
        <w:rPr>
          <w:rFonts w:hint="cs"/>
          <w:rtl/>
        </w:rPr>
        <w:t xml:space="preserve"> +</w:t>
      </w:r>
      <w:r w:rsidR="00D858E2">
        <w:rPr>
          <w:rFonts w:hint="cs"/>
          <w:rtl/>
        </w:rPr>
        <w:t xml:space="preserve"> </w:t>
      </w:r>
      <w:r>
        <w:t xml:space="preserve"> 25.7</w:t>
      </w:r>
      <w:r w:rsidR="00D858E2">
        <w:rPr>
          <w:rFonts w:hint="cs"/>
          <w:rtl/>
        </w:rPr>
        <w:t xml:space="preserve"> ممول/ساعة (تسريب إضافي)  هو </w:t>
      </w:r>
      <w:r w:rsidRPr="00451BF0">
        <w:rPr>
          <w:b/>
          <w:bCs/>
          <w:u w:val="single"/>
        </w:rPr>
        <w:t xml:space="preserve">235.7 </w:t>
      </w:r>
      <w:r w:rsidR="00D858E2" w:rsidRPr="00451BF0">
        <w:rPr>
          <w:rFonts w:hint="cs"/>
          <w:b/>
          <w:bCs/>
          <w:u w:val="single"/>
          <w:rtl/>
        </w:rPr>
        <w:t xml:space="preserve"> ممول/ساعة</w:t>
      </w:r>
      <w:r w:rsidR="00D858E2">
        <w:rPr>
          <w:rFonts w:hint="cs"/>
          <w:rtl/>
        </w:rPr>
        <w:t xml:space="preserve"> </w:t>
      </w:r>
    </w:p>
    <w:p w14:paraId="05304239" w14:textId="5B362ED7" w:rsidR="004E70DB" w:rsidRDefault="004E70DB" w:rsidP="004E70DB">
      <w:pPr>
        <w:bidi/>
        <w:spacing w:after="0"/>
        <w:rPr>
          <w:rtl/>
        </w:rPr>
      </w:pPr>
      <w:r>
        <w:rPr>
          <w:rtl/>
        </w:rPr>
        <w:t>من الصوديوم ضمن حجم إجمالي</w:t>
      </w:r>
      <w:r w:rsidR="00451BF0">
        <w:rPr>
          <w:rFonts w:hint="cs"/>
          <w:rtl/>
        </w:rPr>
        <w:t xml:space="preserve"> </w:t>
      </w:r>
      <w:r>
        <w:rPr>
          <w:rtl/>
        </w:rPr>
        <w:t>1.55</w:t>
      </w:r>
      <w:r w:rsidR="00451BF0">
        <w:rPr>
          <w:rFonts w:hint="cs"/>
          <w:rtl/>
        </w:rPr>
        <w:t xml:space="preserve"> لتر/ساعة (ح</w:t>
      </w:r>
      <w:r>
        <w:rPr>
          <w:rtl/>
        </w:rPr>
        <w:t>جم سائل التعويض + حجم محلول الصوديوم 3% خلال ساع</w:t>
      </w:r>
      <w:r w:rsidR="00451BF0">
        <w:rPr>
          <w:rFonts w:hint="cs"/>
          <w:rtl/>
        </w:rPr>
        <w:t>ة)</w:t>
      </w:r>
    </w:p>
    <w:p w14:paraId="2769260D" w14:textId="77777777" w:rsidR="004E70DB" w:rsidRDefault="004E70DB" w:rsidP="004E70DB">
      <w:pPr>
        <w:bidi/>
        <w:spacing w:after="0"/>
        <w:rPr>
          <w:rtl/>
        </w:rPr>
      </w:pPr>
      <w:r>
        <w:rPr>
          <w:rtl/>
        </w:rPr>
        <w:t>وبالتالي يصبح تركيز الصوديوم الفعّال</w:t>
      </w:r>
      <w:r>
        <w:t>:</w:t>
      </w:r>
    </w:p>
    <w:p w14:paraId="51143448" w14:textId="5487DE3A" w:rsidR="004E70DB" w:rsidRDefault="004E70DB" w:rsidP="004E70DB">
      <w:pPr>
        <w:bidi/>
        <w:spacing w:after="0"/>
        <w:rPr>
          <w:rtl/>
        </w:rPr>
      </w:pPr>
      <w:r>
        <w:rPr>
          <w:rtl/>
        </w:rPr>
        <w:t>235.7</w:t>
      </w:r>
      <w:r w:rsidR="00451BF0">
        <w:rPr>
          <w:rFonts w:hint="cs"/>
          <w:rtl/>
        </w:rPr>
        <w:t xml:space="preserve"> ممول/ساعة </w:t>
      </w:r>
      <w:r w:rsidR="00451BF0">
        <w:t>÷</w:t>
      </w:r>
      <w:r w:rsidR="00451BF0">
        <w:rPr>
          <w:rFonts w:hint="cs"/>
          <w:rtl/>
        </w:rPr>
        <w:t xml:space="preserve"> </w:t>
      </w:r>
      <w:r>
        <w:t xml:space="preserve"> 1.55 </w:t>
      </w:r>
      <w:r w:rsidR="00451BF0">
        <w:rPr>
          <w:rFonts w:hint="cs"/>
          <w:rtl/>
        </w:rPr>
        <w:t xml:space="preserve">لتر/ساعة هو : </w:t>
      </w:r>
      <w:r>
        <w:t xml:space="preserve">152 </w:t>
      </w:r>
      <w:r w:rsidR="00451BF0">
        <w:rPr>
          <w:rFonts w:hint="cs"/>
          <w:rtl/>
        </w:rPr>
        <w:t xml:space="preserve"> ممول/ل</w:t>
      </w:r>
    </w:p>
    <w:p w14:paraId="0445BB64" w14:textId="77777777" w:rsidR="004E05C1" w:rsidRDefault="004E05C1" w:rsidP="004E05C1">
      <w:pPr>
        <w:bidi/>
        <w:spacing w:after="0"/>
        <w:rPr>
          <w:rtl/>
        </w:rPr>
      </w:pPr>
    </w:p>
    <w:p w14:paraId="539016E1" w14:textId="71A2486D" w:rsidR="004E05C1" w:rsidRPr="004E05C1" w:rsidRDefault="004E05C1" w:rsidP="004E05C1">
      <w:pPr>
        <w:bidi/>
        <w:spacing w:after="0"/>
        <w:rPr>
          <w:rtl/>
          <w:lang w:val="de-DE"/>
        </w:rPr>
      </w:pPr>
      <w:r w:rsidRPr="004E05C1">
        <w:rPr>
          <w:rtl/>
          <w:lang w:val="de-DE"/>
        </w:rPr>
        <w:t xml:space="preserve">الفكرة السريرية الأساسية في </w:t>
      </w:r>
      <w:r>
        <w:rPr>
          <w:rFonts w:hint="cs"/>
          <w:rtl/>
          <w:lang w:val="de-DE"/>
        </w:rPr>
        <w:t xml:space="preserve">هذا </w:t>
      </w:r>
      <w:r w:rsidRPr="004E05C1">
        <w:rPr>
          <w:rtl/>
          <w:lang w:val="de-DE"/>
        </w:rPr>
        <w:t>المثال هي أن استخدام</w:t>
      </w:r>
      <w:r w:rsidRPr="004E05C1">
        <w:rPr>
          <w:lang w:val="de-DE"/>
        </w:rPr>
        <w:t xml:space="preserve"> CKRT </w:t>
      </w:r>
      <w:r w:rsidRPr="004E05C1">
        <w:rPr>
          <w:rtl/>
          <w:lang w:val="de-DE"/>
        </w:rPr>
        <w:t>عادي بـ</w:t>
      </w:r>
      <w:r w:rsidRPr="004E05C1">
        <w:rPr>
          <w:lang w:val="de-DE"/>
        </w:rPr>
        <w:t>Na 140</w:t>
      </w:r>
      <w:r>
        <w:rPr>
          <w:rFonts w:hint="cs"/>
          <w:rtl/>
          <w:lang w:val="de-DE"/>
        </w:rPr>
        <w:t xml:space="preserve"> </w:t>
      </w:r>
      <w:r w:rsidRPr="004E05C1">
        <w:rPr>
          <w:lang w:val="de-DE"/>
        </w:rPr>
        <w:t xml:space="preserve"> </w:t>
      </w:r>
      <w:r w:rsidRPr="004E05C1">
        <w:rPr>
          <w:rtl/>
          <w:lang w:val="de-DE"/>
        </w:rPr>
        <w:t>كان سيخلق</w:t>
      </w:r>
      <w:r w:rsidRPr="004E05C1">
        <w:rPr>
          <w:lang w:val="de-DE"/>
        </w:rPr>
        <w:t xml:space="preserve"> </w:t>
      </w:r>
      <w:proofErr w:type="spellStart"/>
      <w:r w:rsidRPr="004E05C1">
        <w:rPr>
          <w:lang w:val="de-DE"/>
        </w:rPr>
        <w:t>gradient</w:t>
      </w:r>
      <w:proofErr w:type="spellEnd"/>
      <w:r w:rsidRPr="004E05C1">
        <w:rPr>
          <w:lang w:val="de-DE"/>
        </w:rPr>
        <w:t xml:space="preserve"> </w:t>
      </w:r>
      <w:r w:rsidRPr="004E05C1">
        <w:rPr>
          <w:rtl/>
          <w:lang w:val="de-DE"/>
        </w:rPr>
        <w:t>كبيرا</w:t>
      </w:r>
      <w:r>
        <w:rPr>
          <w:rFonts w:hint="cs"/>
          <w:rtl/>
          <w:lang w:val="de-DE"/>
        </w:rPr>
        <w:t xml:space="preserve">ً </w:t>
      </w:r>
      <w:r w:rsidRPr="004E05C1">
        <w:rPr>
          <w:rtl/>
          <w:lang w:val="de-DE"/>
        </w:rPr>
        <w:t>154</w:t>
      </w:r>
      <w:r>
        <w:rPr>
          <w:rFonts w:hint="cs"/>
          <w:rtl/>
          <w:lang w:val="de-DE"/>
        </w:rPr>
        <w:t xml:space="preserve"> عند المريض في بداية جلسة العلاج مقابل </w:t>
      </w:r>
      <w:r w:rsidRPr="004E05C1">
        <w:rPr>
          <w:lang w:val="de-DE"/>
        </w:rPr>
        <w:t>140</w:t>
      </w:r>
      <w:r>
        <w:rPr>
          <w:rFonts w:hint="cs"/>
          <w:rtl/>
          <w:lang w:val="de-DE"/>
        </w:rPr>
        <w:t xml:space="preserve"> في سائل الغسيل . </w:t>
      </w:r>
      <w:r w:rsidRPr="004E05C1">
        <w:rPr>
          <w:rtl/>
          <w:lang w:val="de-DE"/>
        </w:rPr>
        <w:t>وقد يؤدي إلى خفض غير مرغوب فيه للصوديوم والأسمولالية عند مريض لديه</w:t>
      </w:r>
      <w:r w:rsidRPr="004E05C1">
        <w:rPr>
          <w:lang w:val="de-DE"/>
        </w:rPr>
        <w:t xml:space="preserve"> cerebral </w:t>
      </w:r>
      <w:proofErr w:type="spellStart"/>
      <w:r w:rsidRPr="004E05C1">
        <w:rPr>
          <w:lang w:val="de-DE"/>
        </w:rPr>
        <w:t>edema</w:t>
      </w:r>
      <w:proofErr w:type="spellEnd"/>
      <w:r>
        <w:rPr>
          <w:rFonts w:hint="cs"/>
          <w:rtl/>
          <w:lang w:val="de-DE"/>
        </w:rPr>
        <w:t xml:space="preserve"> </w:t>
      </w:r>
      <w:r w:rsidRPr="004E05C1">
        <w:rPr>
          <w:lang w:val="de-DE"/>
        </w:rPr>
        <w:t xml:space="preserve"> </w:t>
      </w:r>
      <w:r w:rsidRPr="004E05C1">
        <w:rPr>
          <w:rtl/>
          <w:lang w:val="de-DE"/>
        </w:rPr>
        <w:t>و</w:t>
      </w:r>
      <w:proofErr w:type="spellStart"/>
      <w:r w:rsidRPr="004E05C1">
        <w:rPr>
          <w:lang w:val="de-DE"/>
        </w:rPr>
        <w:t>intracranial</w:t>
      </w:r>
      <w:proofErr w:type="spellEnd"/>
      <w:r w:rsidRPr="004E05C1">
        <w:rPr>
          <w:lang w:val="de-DE"/>
        </w:rPr>
        <w:t xml:space="preserve"> </w:t>
      </w:r>
      <w:proofErr w:type="spellStart"/>
      <w:r w:rsidRPr="004E05C1">
        <w:rPr>
          <w:lang w:val="de-DE"/>
        </w:rPr>
        <w:t>hypertension</w:t>
      </w:r>
      <w:proofErr w:type="spellEnd"/>
      <w:r>
        <w:rPr>
          <w:rFonts w:hint="cs"/>
          <w:rtl/>
          <w:lang w:val="de-DE"/>
        </w:rPr>
        <w:t xml:space="preserve"> </w:t>
      </w:r>
      <w:r w:rsidRPr="004E05C1">
        <w:rPr>
          <w:lang w:val="de-DE"/>
        </w:rPr>
        <w:t xml:space="preserve"> </w:t>
      </w:r>
      <w:r w:rsidRPr="004E05C1">
        <w:rPr>
          <w:rtl/>
          <w:lang w:val="de-DE"/>
        </w:rPr>
        <w:t xml:space="preserve">لذلك تمت إضافة </w:t>
      </w:r>
      <w:r w:rsidRPr="004E05C1">
        <w:rPr>
          <w:lang w:val="de-DE"/>
        </w:rPr>
        <w:t xml:space="preserve"> NaCl</w:t>
      </w:r>
      <w:r>
        <w:rPr>
          <w:rFonts w:hint="cs"/>
          <w:rtl/>
          <w:lang w:val="de-DE"/>
        </w:rPr>
        <w:t xml:space="preserve"> بتركيز 3%</w:t>
      </w:r>
      <w:r w:rsidRPr="004E05C1">
        <w:rPr>
          <w:lang w:val="de-DE"/>
        </w:rPr>
        <w:t xml:space="preserve"> </w:t>
      </w:r>
      <w:r w:rsidRPr="004E05C1">
        <w:rPr>
          <w:rtl/>
          <w:lang w:val="de-DE"/>
        </w:rPr>
        <w:t>لجعل الـ</w:t>
      </w:r>
      <w:r>
        <w:rPr>
          <w:rFonts w:hint="cs"/>
          <w:rtl/>
          <w:lang w:val="de-DE"/>
        </w:rPr>
        <w:t xml:space="preserve"> </w:t>
      </w:r>
      <w:proofErr w:type="spellStart"/>
      <w:r w:rsidRPr="004E05C1">
        <w:rPr>
          <w:lang w:val="de-DE"/>
        </w:rPr>
        <w:t>effective</w:t>
      </w:r>
      <w:proofErr w:type="spellEnd"/>
      <w:r w:rsidRPr="004E05C1">
        <w:rPr>
          <w:lang w:val="de-DE"/>
        </w:rPr>
        <w:t xml:space="preserve"> CKRT </w:t>
      </w:r>
      <w:proofErr w:type="spellStart"/>
      <w:r w:rsidRPr="004E05C1">
        <w:rPr>
          <w:lang w:val="de-DE"/>
        </w:rPr>
        <w:t>sodium</w:t>
      </w:r>
      <w:proofErr w:type="spellEnd"/>
      <w:r>
        <w:rPr>
          <w:rFonts w:hint="cs"/>
          <w:rtl/>
          <w:lang w:val="de-DE"/>
        </w:rPr>
        <w:t xml:space="preserve"> قريب من 152 ممول/لتر </w:t>
      </w:r>
      <w:r w:rsidRPr="004E05C1">
        <w:rPr>
          <w:rtl/>
          <w:lang w:val="de-DE"/>
        </w:rPr>
        <w:t>، بحيث يصبح</w:t>
      </w:r>
      <w:r w:rsidRPr="004E05C1">
        <w:rPr>
          <w:lang w:val="de-DE"/>
        </w:rPr>
        <w:t xml:space="preserve"> </w:t>
      </w:r>
      <w:proofErr w:type="spellStart"/>
      <w:r w:rsidRPr="004E05C1">
        <w:rPr>
          <w:lang w:val="de-DE"/>
        </w:rPr>
        <w:t>gradient</w:t>
      </w:r>
      <w:proofErr w:type="spellEnd"/>
      <w:r w:rsidRPr="004E05C1">
        <w:rPr>
          <w:lang w:val="de-DE"/>
        </w:rPr>
        <w:t xml:space="preserve"> </w:t>
      </w:r>
      <w:r w:rsidRPr="004E05C1">
        <w:rPr>
          <w:rtl/>
          <w:lang w:val="de-DE"/>
        </w:rPr>
        <w:t>صغير</w:t>
      </w:r>
      <w:r>
        <w:rPr>
          <w:rFonts w:hint="cs"/>
          <w:rtl/>
          <w:lang w:val="de-DE"/>
        </w:rPr>
        <w:t>اً</w:t>
      </w:r>
      <w:r w:rsidRPr="004E05C1">
        <w:rPr>
          <w:rtl/>
          <w:lang w:val="de-DE"/>
        </w:rPr>
        <w:t xml:space="preserve"> جدا</w:t>
      </w:r>
      <w:r>
        <w:rPr>
          <w:rFonts w:hint="cs"/>
          <w:rtl/>
          <w:lang w:val="de-DE"/>
        </w:rPr>
        <w:t xml:space="preserve">ً  ، </w:t>
      </w:r>
      <w:r w:rsidRPr="004E05C1">
        <w:rPr>
          <w:rtl/>
          <w:lang w:val="de-DE"/>
        </w:rPr>
        <w:t>وبالتالي الحفاظ على</w:t>
      </w:r>
      <w:r w:rsidRPr="004E05C1">
        <w:rPr>
          <w:lang w:val="de-DE"/>
        </w:rPr>
        <w:t xml:space="preserve"> </w:t>
      </w:r>
      <w:proofErr w:type="spellStart"/>
      <w:r w:rsidRPr="004E05C1">
        <w:rPr>
          <w:lang w:val="de-DE"/>
        </w:rPr>
        <w:t>therapeutic</w:t>
      </w:r>
      <w:proofErr w:type="spellEnd"/>
      <w:r w:rsidRPr="004E05C1">
        <w:rPr>
          <w:lang w:val="de-DE"/>
        </w:rPr>
        <w:t xml:space="preserve"> </w:t>
      </w:r>
      <w:proofErr w:type="spellStart"/>
      <w:r w:rsidRPr="004E05C1">
        <w:rPr>
          <w:lang w:val="de-DE"/>
        </w:rPr>
        <w:t>hypernatremia</w:t>
      </w:r>
      <w:proofErr w:type="spellEnd"/>
      <w:r w:rsidRPr="004E05C1">
        <w:rPr>
          <w:lang w:val="de-DE"/>
        </w:rPr>
        <w:t xml:space="preserve"> </w:t>
      </w:r>
      <w:r w:rsidRPr="004E05C1">
        <w:rPr>
          <w:rtl/>
          <w:lang w:val="de-DE"/>
        </w:rPr>
        <w:t>مع</w:t>
      </w:r>
      <w:r w:rsidRPr="004E05C1">
        <w:rPr>
          <w:lang w:val="de-DE"/>
        </w:rPr>
        <w:t xml:space="preserve"> CKRT </w:t>
      </w:r>
      <w:r w:rsidRPr="004E05C1">
        <w:rPr>
          <w:rtl/>
          <w:lang w:val="de-DE"/>
        </w:rPr>
        <w:t>بشكل أكثر استقرارا</w:t>
      </w:r>
      <w:r>
        <w:rPr>
          <w:rFonts w:hint="cs"/>
          <w:rtl/>
          <w:lang w:val="de-DE"/>
        </w:rPr>
        <w:t xml:space="preserve">ً </w:t>
      </w:r>
    </w:p>
    <w:p w14:paraId="59CAA621" w14:textId="77777777" w:rsidR="004E05C1" w:rsidRPr="004E05C1" w:rsidRDefault="004E05C1" w:rsidP="004E05C1">
      <w:pPr>
        <w:bidi/>
        <w:spacing w:after="0"/>
        <w:rPr>
          <w:rtl/>
          <w:lang w:val="de-DE"/>
        </w:rPr>
      </w:pPr>
      <w:r w:rsidRPr="004E05C1">
        <w:rPr>
          <w:rtl/>
          <w:lang w:val="de-DE"/>
        </w:rPr>
        <w:t>الخلاصة</w:t>
      </w:r>
      <w:r w:rsidRPr="004E05C1">
        <w:rPr>
          <w:lang w:val="de-DE"/>
        </w:rPr>
        <w:t>:</w:t>
      </w:r>
    </w:p>
    <w:p w14:paraId="4E542B83" w14:textId="77777777" w:rsidR="004E05C1" w:rsidRPr="004E05C1" w:rsidRDefault="004E05C1" w:rsidP="004E05C1">
      <w:pPr>
        <w:bidi/>
        <w:spacing w:after="0"/>
        <w:rPr>
          <w:rtl/>
          <w:lang w:val="de-DE"/>
        </w:rPr>
      </w:pPr>
      <w:r w:rsidRPr="004E05C1">
        <w:rPr>
          <w:rtl/>
          <w:lang w:val="de-DE"/>
        </w:rPr>
        <w:t>140</w:t>
      </w:r>
      <w:r w:rsidRPr="004E05C1">
        <w:rPr>
          <w:lang w:val="de-DE"/>
        </w:rPr>
        <w:t xml:space="preserve"> = </w:t>
      </w:r>
      <w:r w:rsidRPr="004E05C1">
        <w:rPr>
          <w:rtl/>
          <w:lang w:val="de-DE"/>
        </w:rPr>
        <w:t>تركيز</w:t>
      </w:r>
      <w:r w:rsidRPr="004E05C1">
        <w:rPr>
          <w:lang w:val="de-DE"/>
        </w:rPr>
        <w:t xml:space="preserve"> Na </w:t>
      </w:r>
      <w:r w:rsidRPr="004E05C1">
        <w:rPr>
          <w:rtl/>
          <w:lang w:val="de-DE"/>
        </w:rPr>
        <w:t>في محلول</w:t>
      </w:r>
      <w:r w:rsidRPr="004E05C1">
        <w:rPr>
          <w:lang w:val="de-DE"/>
        </w:rPr>
        <w:t xml:space="preserve"> CKRT </w:t>
      </w:r>
      <w:r w:rsidRPr="004E05C1">
        <w:rPr>
          <w:rtl/>
          <w:lang w:val="de-DE"/>
        </w:rPr>
        <w:t>الأساسي</w:t>
      </w:r>
      <w:r w:rsidRPr="004E05C1">
        <w:rPr>
          <w:lang w:val="de-DE"/>
        </w:rPr>
        <w:t>.</w:t>
      </w:r>
    </w:p>
    <w:p w14:paraId="0E160D2C" w14:textId="77777777" w:rsidR="004E05C1" w:rsidRPr="004E05C1" w:rsidRDefault="004E05C1" w:rsidP="004E05C1">
      <w:pPr>
        <w:bidi/>
        <w:spacing w:after="0"/>
        <w:rPr>
          <w:rtl/>
          <w:lang w:val="de-DE"/>
        </w:rPr>
      </w:pPr>
      <w:r w:rsidRPr="004E05C1">
        <w:rPr>
          <w:rtl/>
          <w:lang w:val="de-DE"/>
        </w:rPr>
        <w:t>152</w:t>
      </w:r>
      <w:r w:rsidRPr="004E05C1">
        <w:rPr>
          <w:lang w:val="de-DE"/>
        </w:rPr>
        <w:t xml:space="preserve"> = </w:t>
      </w:r>
      <w:r w:rsidRPr="004E05C1">
        <w:rPr>
          <w:rtl/>
          <w:lang w:val="de-DE"/>
        </w:rPr>
        <w:t>التركيز الفعّال للوصفة بعد إضافة 3</w:t>
      </w:r>
      <w:r w:rsidRPr="004E05C1">
        <w:rPr>
          <w:lang w:val="de-DE"/>
        </w:rPr>
        <w:t>% NaCl.</w:t>
      </w:r>
    </w:p>
    <w:p w14:paraId="7F03F685" w14:textId="77777777" w:rsidR="004E05C1" w:rsidRPr="004E05C1" w:rsidRDefault="004E05C1" w:rsidP="004E05C1">
      <w:pPr>
        <w:bidi/>
        <w:spacing w:after="0"/>
        <w:rPr>
          <w:rtl/>
          <w:lang w:val="de-DE"/>
        </w:rPr>
      </w:pPr>
      <w:r w:rsidRPr="004E05C1">
        <w:rPr>
          <w:rtl/>
          <w:lang w:val="de-DE"/>
        </w:rPr>
        <w:t>154</w:t>
      </w:r>
      <w:r w:rsidRPr="004E05C1">
        <w:rPr>
          <w:lang w:val="de-DE"/>
        </w:rPr>
        <w:t xml:space="preserve"> = </w:t>
      </w:r>
      <w:r w:rsidRPr="004E05C1">
        <w:rPr>
          <w:rtl/>
          <w:lang w:val="de-DE"/>
        </w:rPr>
        <w:t>صوديوم دم المريضة في بداية الحالة</w:t>
      </w:r>
      <w:r w:rsidRPr="004E05C1">
        <w:rPr>
          <w:lang w:val="de-DE"/>
        </w:rPr>
        <w:t>.</w:t>
      </w:r>
    </w:p>
    <w:p w14:paraId="6873B3FE" w14:textId="56154C98" w:rsidR="004E05C1" w:rsidRPr="004E05C1" w:rsidRDefault="004E05C1" w:rsidP="004E05C1">
      <w:pPr>
        <w:bidi/>
        <w:spacing w:after="0"/>
        <w:rPr>
          <w:rtl/>
          <w:lang w:val="de-DE"/>
        </w:rPr>
      </w:pPr>
      <w:r w:rsidRPr="004E05C1">
        <w:rPr>
          <w:rtl/>
          <w:lang w:val="de-DE"/>
        </w:rPr>
        <w:t>أما صوديوم الدم بعد ساعة فيحتاج حسابًا حركيًا، ولن يساوي 152 مباشرة.</w:t>
      </w:r>
    </w:p>
    <w:p w14:paraId="5607FE9E" w14:textId="77777777" w:rsidR="004E70DB" w:rsidRPr="004E70DB" w:rsidRDefault="004E70DB" w:rsidP="004E70DB">
      <w:pPr>
        <w:bidi/>
        <w:spacing w:after="0"/>
        <w:rPr>
          <w:rtl/>
        </w:rPr>
      </w:pPr>
    </w:p>
    <w:p w14:paraId="31FDED89" w14:textId="77777777" w:rsidR="004E70DB" w:rsidRPr="004E70DB" w:rsidRDefault="004E70DB" w:rsidP="004E70DB">
      <w:pPr>
        <w:bidi/>
        <w:spacing w:after="0"/>
        <w:rPr>
          <w:b/>
          <w:bCs/>
          <w:sz w:val="28"/>
          <w:szCs w:val="28"/>
          <w:rtl/>
        </w:rPr>
      </w:pPr>
      <w:r w:rsidRPr="004E70DB">
        <w:rPr>
          <w:b/>
          <w:bCs/>
          <w:sz w:val="28"/>
          <w:szCs w:val="28"/>
          <w:rtl/>
        </w:rPr>
        <w:t>البوتاسيوم والبيكربونات في محاليل</w:t>
      </w:r>
      <w:r w:rsidRPr="004E70DB">
        <w:rPr>
          <w:b/>
          <w:bCs/>
          <w:sz w:val="28"/>
          <w:szCs w:val="28"/>
        </w:rPr>
        <w:t xml:space="preserve"> CKRT</w:t>
      </w:r>
    </w:p>
    <w:p w14:paraId="758E6DA5" w14:textId="58ACF607" w:rsidR="004E70DB" w:rsidRDefault="004E70DB" w:rsidP="004E70DB">
      <w:pPr>
        <w:bidi/>
        <w:spacing w:after="0"/>
        <w:rPr>
          <w:rtl/>
        </w:rPr>
      </w:pPr>
      <w:r>
        <w:rPr>
          <w:rtl/>
        </w:rPr>
        <w:t>لأن الجرعة اليومية الكلية لتصفية المواد المذابة التي يوفرها</w:t>
      </w:r>
      <w:r>
        <w:t xml:space="preserve"> CKRT </w:t>
      </w:r>
      <w:r>
        <w:rPr>
          <w:rtl/>
        </w:rPr>
        <w:t>أعلى من الجرعة التي يوفرها</w:t>
      </w:r>
      <w:r>
        <w:t xml:space="preserve"> IHD </w:t>
      </w:r>
      <w:r>
        <w:rPr>
          <w:rtl/>
        </w:rPr>
        <w:t>ثلاث مرات أسبوعيًّا أو حتى يوميًّا، فإن تركيز البوتاسيوم المطلوب في محاليل</w:t>
      </w:r>
      <w:r>
        <w:t xml:space="preserve"> CKRT </w:t>
      </w:r>
      <w:r>
        <w:rPr>
          <w:rtl/>
        </w:rPr>
        <w:t>للسيطرة على فرط بوتاسيوم الدم لا يحتاج عادةً إلى أن يكون منخفضًا بقدر ما هو مطلوب ف</w:t>
      </w:r>
      <w:r w:rsidR="002D4893">
        <w:rPr>
          <w:rFonts w:hint="cs"/>
          <w:rtl/>
        </w:rPr>
        <w:t xml:space="preserve">ي الـ </w:t>
      </w:r>
      <w:r>
        <w:t>IHD</w:t>
      </w:r>
      <w:r w:rsidR="002D4893">
        <w:rPr>
          <w:rFonts w:hint="cs"/>
          <w:rtl/>
        </w:rPr>
        <w:t xml:space="preserve"> .</w:t>
      </w:r>
    </w:p>
    <w:p w14:paraId="54066E59" w14:textId="7A120E35" w:rsidR="004E70DB" w:rsidRDefault="004E70DB" w:rsidP="002D4893">
      <w:pPr>
        <w:bidi/>
        <w:spacing w:after="0"/>
        <w:rPr>
          <w:rtl/>
        </w:rPr>
      </w:pPr>
      <w:r>
        <w:rPr>
          <w:rtl/>
        </w:rPr>
        <w:t>فعادةً ما يكون</w:t>
      </w:r>
      <w:r w:rsidR="002D4893">
        <w:rPr>
          <w:rFonts w:hint="cs"/>
          <w:rtl/>
        </w:rPr>
        <w:t xml:space="preserve"> </w:t>
      </w:r>
      <w:r>
        <w:rPr>
          <w:rtl/>
        </w:rPr>
        <w:t>4</w:t>
      </w:r>
      <w:r w:rsidR="002D4893">
        <w:rPr>
          <w:rFonts w:hint="cs"/>
          <w:rtl/>
        </w:rPr>
        <w:t xml:space="preserve"> ممول/لتر </w:t>
      </w:r>
      <w:r>
        <w:rPr>
          <w:rtl/>
        </w:rPr>
        <w:t>من البوتاسيوم كافيًا ، إلا إذا كان فرط بوتاسيوم الدم شديدًا</w:t>
      </w:r>
      <w:r>
        <w:t>.</w:t>
      </w:r>
    </w:p>
    <w:p w14:paraId="2212EAFC" w14:textId="02D320FF" w:rsidR="004E70DB" w:rsidRDefault="004E70DB" w:rsidP="002D4893">
      <w:pPr>
        <w:bidi/>
        <w:spacing w:after="0"/>
        <w:rPr>
          <w:rtl/>
        </w:rPr>
      </w:pPr>
      <w:r>
        <w:rPr>
          <w:rtl/>
        </w:rPr>
        <w:lastRenderedPageBreak/>
        <w:t>وقد استُخدم الأسيتات أو اللاكتات تاريخيًّا بوصفهما العوازل الرئيسية في محاليل</w:t>
      </w:r>
      <w:r>
        <w:t xml:space="preserve"> KRT</w:t>
      </w:r>
      <w:r>
        <w:rPr>
          <w:rtl/>
        </w:rPr>
        <w:t>، لكن محاليل</w:t>
      </w:r>
      <w:r>
        <w:t xml:space="preserve"> CKRT </w:t>
      </w:r>
      <w:r>
        <w:rPr>
          <w:rtl/>
        </w:rPr>
        <w:t>الحديثة أصبحت تعتمد بصورة شبه حصرية على البيكربونات</w:t>
      </w:r>
      <w:r>
        <w:t>.</w:t>
      </w:r>
      <w:r w:rsidR="002D4893">
        <w:rPr>
          <w:rFonts w:hint="cs"/>
          <w:rtl/>
        </w:rPr>
        <w:t xml:space="preserve"> </w:t>
      </w:r>
      <w:r>
        <w:rPr>
          <w:rtl/>
        </w:rPr>
        <w:t>ويتراوح تركيز البيكربونات النموذجي بين 22–35</w:t>
      </w:r>
      <w:r>
        <w:t xml:space="preserve"> </w:t>
      </w:r>
      <w:r w:rsidR="002D4893">
        <w:rPr>
          <w:rFonts w:hint="cs"/>
          <w:rtl/>
        </w:rPr>
        <w:t xml:space="preserve"> </w:t>
      </w:r>
      <w:proofErr w:type="spellStart"/>
      <w:r>
        <w:t>mEq</w:t>
      </w:r>
      <w:proofErr w:type="spellEnd"/>
      <w:r>
        <w:t>/L</w:t>
      </w:r>
    </w:p>
    <w:p w14:paraId="4ACD8AB5" w14:textId="77777777" w:rsidR="004E70DB" w:rsidRDefault="004E70DB" w:rsidP="004E70DB">
      <w:pPr>
        <w:bidi/>
        <w:spacing w:after="0"/>
        <w:rPr>
          <w:rtl/>
        </w:rPr>
      </w:pPr>
    </w:p>
    <w:p w14:paraId="4A4F0E55" w14:textId="77777777" w:rsidR="004E70DB" w:rsidRPr="004E70DB" w:rsidRDefault="004E70DB" w:rsidP="004E70DB">
      <w:pPr>
        <w:bidi/>
        <w:spacing w:after="0"/>
        <w:rPr>
          <w:b/>
          <w:bCs/>
          <w:sz w:val="28"/>
          <w:szCs w:val="28"/>
          <w:rtl/>
        </w:rPr>
      </w:pPr>
      <w:r w:rsidRPr="004E70DB">
        <w:rPr>
          <w:b/>
          <w:bCs/>
          <w:sz w:val="28"/>
          <w:szCs w:val="28"/>
          <w:rtl/>
        </w:rPr>
        <w:t>محاليل</w:t>
      </w:r>
      <w:r w:rsidRPr="004E70DB">
        <w:rPr>
          <w:b/>
          <w:bCs/>
          <w:sz w:val="28"/>
          <w:szCs w:val="28"/>
        </w:rPr>
        <w:t xml:space="preserve"> CKRT </w:t>
      </w:r>
      <w:r w:rsidRPr="004E70DB">
        <w:rPr>
          <w:b/>
          <w:bCs/>
          <w:sz w:val="28"/>
          <w:szCs w:val="28"/>
          <w:rtl/>
        </w:rPr>
        <w:t>المتضمنة لل سترات كـ مضاد تخثر</w:t>
      </w:r>
      <w:r w:rsidRPr="004E70DB">
        <w:rPr>
          <w:b/>
          <w:bCs/>
          <w:sz w:val="28"/>
          <w:szCs w:val="28"/>
        </w:rPr>
        <w:t xml:space="preserve"> RCA</w:t>
      </w:r>
    </w:p>
    <w:p w14:paraId="55E59EC8" w14:textId="77777777" w:rsidR="004E70DB" w:rsidRDefault="004E70DB" w:rsidP="004E70DB">
      <w:pPr>
        <w:bidi/>
        <w:spacing w:after="0"/>
        <w:rPr>
          <w:rtl/>
        </w:rPr>
      </w:pPr>
      <w:r>
        <w:rPr>
          <w:rtl/>
        </w:rPr>
        <w:t>تكون محاليل</w:t>
      </w:r>
      <w:r>
        <w:t xml:space="preserve"> CKRT </w:t>
      </w:r>
      <w:r>
        <w:rPr>
          <w:rtl/>
        </w:rPr>
        <w:t>المستخدمة مع مضاد التخثر بالسترات</w:t>
      </w:r>
      <w:r>
        <w:t xml:space="preserve"> (Regional Citrate Anticoagulation, RCA) </w:t>
      </w:r>
      <w:r>
        <w:rPr>
          <w:rtl/>
        </w:rPr>
        <w:t>عادةً خالية من الكالسيوم، ما يسهّل خفض تركيز الكالسيوم داخل المرشح</w:t>
      </w:r>
      <w:r>
        <w:t>.</w:t>
      </w:r>
    </w:p>
    <w:p w14:paraId="65093891" w14:textId="77777777" w:rsidR="004E70DB" w:rsidRDefault="004E70DB" w:rsidP="004E70DB">
      <w:pPr>
        <w:bidi/>
        <w:spacing w:after="0"/>
        <w:rPr>
          <w:rtl/>
        </w:rPr>
      </w:pPr>
      <w:r>
        <w:rPr>
          <w:rtl/>
        </w:rPr>
        <w:t>وتحتوي هذه المحاليل أيضًا عادةً على تركيز بيكربونات أقل، يبلغ نحو25</w:t>
      </w:r>
      <w:r>
        <w:t xml:space="preserve"> </w:t>
      </w:r>
      <w:proofErr w:type="spellStart"/>
      <w:r>
        <w:t>mEq</w:t>
      </w:r>
      <w:proofErr w:type="spellEnd"/>
      <w:r>
        <w:t>/L</w:t>
      </w:r>
    </w:p>
    <w:p w14:paraId="2DCC11AE" w14:textId="77777777" w:rsidR="004E70DB" w:rsidRDefault="004E70DB" w:rsidP="004E70DB">
      <w:pPr>
        <w:bidi/>
        <w:spacing w:after="0"/>
        <w:rPr>
          <w:rtl/>
        </w:rPr>
      </w:pPr>
      <w:r>
        <w:rPr>
          <w:rtl/>
        </w:rPr>
        <w:t>مقارنةً بمحاليـل</w:t>
      </w:r>
      <w:r>
        <w:t xml:space="preserve"> CKRT </w:t>
      </w:r>
      <w:r>
        <w:rPr>
          <w:rtl/>
        </w:rPr>
        <w:t>القياسية الأخرى التي يكون تركيز البيكربونات فيها عادةً نحو: 35</w:t>
      </w:r>
      <w:r>
        <w:t xml:space="preserve"> </w:t>
      </w:r>
      <w:proofErr w:type="spellStart"/>
      <w:r>
        <w:t>mEq</w:t>
      </w:r>
      <w:proofErr w:type="spellEnd"/>
      <w:r>
        <w:t>/L</w:t>
      </w:r>
    </w:p>
    <w:p w14:paraId="08CF157C" w14:textId="77777777" w:rsidR="004E70DB" w:rsidRDefault="004E70DB" w:rsidP="004E70DB">
      <w:pPr>
        <w:bidi/>
        <w:spacing w:after="0"/>
        <w:rPr>
          <w:rtl/>
        </w:rPr>
      </w:pPr>
      <w:r>
        <w:rPr>
          <w:rtl/>
        </w:rPr>
        <w:t>والهدف من ذلك هو أخذ الحمل القلوي</w:t>
      </w:r>
      <w:r>
        <w:t xml:space="preserve">  alkali load </w:t>
      </w:r>
      <w:r>
        <w:rPr>
          <w:rtl/>
        </w:rPr>
        <w:t>الناتج عن السترات بعد استقلابها في الكبد في الحسبان</w:t>
      </w:r>
      <w:r>
        <w:t>.</w:t>
      </w:r>
    </w:p>
    <w:p w14:paraId="0B77DE49" w14:textId="77777777" w:rsidR="004E70DB" w:rsidRDefault="004E70DB" w:rsidP="004E70DB">
      <w:pPr>
        <w:bidi/>
        <w:spacing w:after="0"/>
        <w:rPr>
          <w:rtl/>
        </w:rPr>
      </w:pPr>
      <w:r>
        <w:rPr>
          <w:rtl/>
        </w:rPr>
        <w:t>وبخلاف اللاكتات، الذي ينتج كمية مولية مساوية من البيكربونات عند استقلابه، فإن</w:t>
      </w:r>
      <w:r>
        <w:t>:</w:t>
      </w:r>
    </w:p>
    <w:p w14:paraId="10975EC1" w14:textId="77777777" w:rsidR="004E70DB" w:rsidRDefault="004E70DB" w:rsidP="004E70DB">
      <w:pPr>
        <w:bidi/>
        <w:spacing w:after="0"/>
        <w:rPr>
          <w:rtl/>
        </w:rPr>
      </w:pPr>
      <w:r>
        <w:rPr>
          <w:rtl/>
        </w:rPr>
        <w:t>كل جزيء سترات يُستقلب إلى 3 جزيئات من البيكربونات</w:t>
      </w:r>
      <w:r>
        <w:t>.</w:t>
      </w:r>
    </w:p>
    <w:p w14:paraId="02AF0079" w14:textId="1A1AC97D" w:rsidR="004E70DB" w:rsidRDefault="004E70DB" w:rsidP="004E70DB">
      <w:pPr>
        <w:bidi/>
        <w:spacing w:after="0"/>
        <w:rPr>
          <w:rtl/>
        </w:rPr>
      </w:pPr>
      <w:r>
        <w:rPr>
          <w:rtl/>
        </w:rPr>
        <w:t xml:space="preserve">ومن المهم أيضًا أن بعض محاليل </w:t>
      </w:r>
      <w:r>
        <w:t>CKRT</w:t>
      </w:r>
      <w:r>
        <w:rPr>
          <w:rtl/>
        </w:rPr>
        <w:t xml:space="preserve"> التجارية المحتوية على الفوسفات أصبحت متوفرة حاليًّا، بينما تكون محاليل </w:t>
      </w:r>
      <w:r>
        <w:t>CKRT</w:t>
      </w:r>
      <w:r>
        <w:rPr>
          <w:rtl/>
        </w:rPr>
        <w:t xml:space="preserve">  التقليدية خالية من الفوسفات.</w:t>
      </w:r>
    </w:p>
    <w:p w14:paraId="5A115EA4" w14:textId="77777777" w:rsidR="002D4893" w:rsidRDefault="002D4893" w:rsidP="00B05DA2">
      <w:pPr>
        <w:bidi/>
        <w:spacing w:after="0"/>
        <w:rPr>
          <w:b/>
          <w:bCs/>
          <w:rtl/>
        </w:rPr>
      </w:pPr>
    </w:p>
    <w:p w14:paraId="336D86B8" w14:textId="77777777" w:rsidR="00CC1907" w:rsidRPr="008B3490" w:rsidRDefault="00CC1907" w:rsidP="00CC1907">
      <w:pPr>
        <w:bidi/>
        <w:spacing w:after="0"/>
        <w:rPr>
          <w:rFonts w:asciiTheme="minorBidi" w:hAnsiTheme="minorBidi"/>
          <w:b/>
          <w:bCs/>
          <w:color w:val="709FDB" w:themeColor="text2" w:themeTint="80"/>
          <w:sz w:val="24"/>
          <w:szCs w:val="24"/>
        </w:rPr>
      </w:pPr>
      <w:r w:rsidRPr="008B3490">
        <w:rPr>
          <w:rFonts w:asciiTheme="minorBidi" w:hAnsiTheme="minorBidi"/>
          <w:b/>
          <w:bCs/>
          <w:color w:val="709FDB" w:themeColor="text2" w:themeTint="80"/>
          <w:sz w:val="24"/>
          <w:szCs w:val="24"/>
          <w:rtl/>
        </w:rPr>
        <w:t>تحقيق توازن السوائل</w:t>
      </w:r>
      <w:r w:rsidRPr="008B3490">
        <w:rPr>
          <w:rFonts w:asciiTheme="minorBidi" w:hAnsiTheme="minorBidi" w:hint="cs"/>
          <w:b/>
          <w:bCs/>
          <w:color w:val="709FDB" w:themeColor="text2" w:themeTint="80"/>
          <w:sz w:val="24"/>
          <w:szCs w:val="24"/>
          <w:rtl/>
        </w:rPr>
        <w:t xml:space="preserve">  </w:t>
      </w:r>
      <w:r w:rsidRPr="008B3490">
        <w:rPr>
          <w:rFonts w:asciiTheme="minorBidi" w:hAnsiTheme="minorBidi"/>
          <w:b/>
          <w:bCs/>
          <w:color w:val="709FDB" w:themeColor="text2" w:themeTint="80"/>
          <w:sz w:val="24"/>
          <w:szCs w:val="24"/>
        </w:rPr>
        <w:t>Achieving Fluid Balance</w:t>
      </w:r>
    </w:p>
    <w:p w14:paraId="0BD60EB3"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كما ذُكر سابقًا، من أهم المزايا العملية لـ</w:t>
      </w:r>
      <w:r w:rsidRPr="00110337">
        <w:rPr>
          <w:rFonts w:asciiTheme="minorBidi" w:hAnsiTheme="minorBidi"/>
          <w:sz w:val="24"/>
          <w:szCs w:val="24"/>
        </w:rPr>
        <w:t xml:space="preserve"> CKRT </w:t>
      </w:r>
      <w:r w:rsidRPr="00110337">
        <w:rPr>
          <w:rFonts w:asciiTheme="minorBidi" w:hAnsiTheme="minorBidi"/>
          <w:sz w:val="24"/>
          <w:szCs w:val="24"/>
          <w:rtl/>
        </w:rPr>
        <w:t>قدرته على إزالة السوائل بصورة مستمرة وتدريجية</w:t>
      </w:r>
      <w:r w:rsidRPr="00110337">
        <w:rPr>
          <w:rFonts w:asciiTheme="minorBidi" w:hAnsiTheme="minorBidi"/>
          <w:sz w:val="24"/>
          <w:szCs w:val="24"/>
        </w:rPr>
        <w:t>.</w:t>
      </w:r>
    </w:p>
    <w:p w14:paraId="1A3184C6" w14:textId="533816B0"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وتستخدم أجهزة</w:t>
      </w:r>
      <w:r w:rsidRPr="00110337">
        <w:rPr>
          <w:rFonts w:asciiTheme="minorBidi" w:hAnsiTheme="minorBidi"/>
          <w:sz w:val="24"/>
          <w:szCs w:val="24"/>
        </w:rPr>
        <w:t xml:space="preserve"> CKRT </w:t>
      </w:r>
      <w:r w:rsidRPr="00110337">
        <w:rPr>
          <w:rFonts w:asciiTheme="minorBidi" w:hAnsiTheme="minorBidi"/>
          <w:sz w:val="24"/>
          <w:szCs w:val="24"/>
          <w:rtl/>
        </w:rPr>
        <w:t>تقنيات</w:t>
      </w:r>
      <w:r>
        <w:rPr>
          <w:rFonts w:asciiTheme="minorBidi" w:hAnsiTheme="minorBidi" w:hint="cs"/>
          <w:sz w:val="24"/>
          <w:szCs w:val="24"/>
          <w:rtl/>
        </w:rPr>
        <w:t xml:space="preserve"> </w:t>
      </w:r>
      <w:r w:rsidRPr="00110337">
        <w:rPr>
          <w:rFonts w:asciiTheme="minorBidi" w:hAnsiTheme="minorBidi"/>
          <w:sz w:val="24"/>
          <w:szCs w:val="24"/>
          <w:rtl/>
        </w:rPr>
        <w:t>قياس وزنية</w:t>
      </w:r>
      <w:r>
        <w:rPr>
          <w:rFonts w:asciiTheme="minorBidi" w:hAnsiTheme="minorBidi" w:hint="cs"/>
          <w:sz w:val="24"/>
          <w:szCs w:val="24"/>
          <w:rtl/>
        </w:rPr>
        <w:t xml:space="preserve"> </w:t>
      </w:r>
      <w:r w:rsidRPr="00110337">
        <w:rPr>
          <w:rFonts w:asciiTheme="minorBidi" w:hAnsiTheme="minorBidi"/>
          <w:sz w:val="24"/>
          <w:szCs w:val="24"/>
        </w:rPr>
        <w:t xml:space="preserve"> Gravimetric</w:t>
      </w:r>
      <w:r>
        <w:rPr>
          <w:rFonts w:asciiTheme="minorBidi" w:hAnsiTheme="minorBidi" w:hint="cs"/>
          <w:sz w:val="24"/>
          <w:szCs w:val="24"/>
          <w:rtl/>
        </w:rPr>
        <w:t xml:space="preserve"> </w:t>
      </w:r>
      <w:r w:rsidRPr="00110337">
        <w:rPr>
          <w:rFonts w:asciiTheme="minorBidi" w:hAnsiTheme="minorBidi"/>
          <w:sz w:val="24"/>
          <w:szCs w:val="24"/>
          <w:rtl/>
        </w:rPr>
        <w:t>أو قياس حجمية</w:t>
      </w:r>
      <w:r>
        <w:rPr>
          <w:rFonts w:asciiTheme="minorBidi" w:hAnsiTheme="minorBidi" w:hint="cs"/>
          <w:sz w:val="24"/>
          <w:szCs w:val="24"/>
          <w:rtl/>
        </w:rPr>
        <w:t xml:space="preserve"> </w:t>
      </w:r>
      <w:r w:rsidRPr="00110337">
        <w:rPr>
          <w:rFonts w:asciiTheme="minorBidi" w:hAnsiTheme="minorBidi"/>
          <w:sz w:val="24"/>
          <w:szCs w:val="24"/>
        </w:rPr>
        <w:t xml:space="preserve"> Volumetric</w:t>
      </w:r>
      <w:r w:rsidRPr="00110337">
        <w:rPr>
          <w:rFonts w:asciiTheme="minorBidi" w:hAnsiTheme="minorBidi"/>
          <w:sz w:val="24"/>
          <w:szCs w:val="24"/>
          <w:rtl/>
        </w:rPr>
        <w:t>لقياس معدلات جريان السوائل بدقة</w:t>
      </w:r>
      <w:r w:rsidRPr="00110337">
        <w:rPr>
          <w:rFonts w:asciiTheme="minorBidi" w:hAnsiTheme="minorBidi"/>
          <w:sz w:val="24"/>
          <w:szCs w:val="24"/>
        </w:rPr>
        <w:t>.</w:t>
      </w:r>
    </w:p>
    <w:p w14:paraId="78BF5893"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ويؤدي ذلك إلى تحقيق دقة أكبر بكثير في التحكم بالحجم مقارنةً بالمضخات التقليدية المستخدمة لإعطاء السوائل الوريدية</w:t>
      </w:r>
      <w:r w:rsidRPr="00110337">
        <w:rPr>
          <w:rFonts w:asciiTheme="minorBidi" w:hAnsiTheme="minorBidi"/>
          <w:sz w:val="24"/>
          <w:szCs w:val="24"/>
        </w:rPr>
        <w:t>.</w:t>
      </w:r>
    </w:p>
    <w:p w14:paraId="320A6100" w14:textId="77777777" w:rsidR="00CC1907" w:rsidRDefault="00CC1907" w:rsidP="002D4893">
      <w:pPr>
        <w:bidi/>
        <w:spacing w:after="0"/>
        <w:rPr>
          <w:b/>
          <w:bCs/>
          <w:rtl/>
        </w:rPr>
      </w:pPr>
    </w:p>
    <w:p w14:paraId="424B2578" w14:textId="26E17320" w:rsidR="00BD2A02" w:rsidRPr="006705CC" w:rsidRDefault="00BD2A02" w:rsidP="00CC1907">
      <w:pPr>
        <w:bidi/>
        <w:spacing w:after="0"/>
        <w:rPr>
          <w:b/>
          <w:bCs/>
        </w:rPr>
      </w:pPr>
      <w:r w:rsidRPr="006705CC">
        <w:rPr>
          <w:b/>
          <w:bCs/>
          <w:rtl/>
        </w:rPr>
        <w:t>التمييز بين</w:t>
      </w:r>
      <w:r w:rsidRPr="006705CC">
        <w:rPr>
          <w:b/>
          <w:bCs/>
        </w:rPr>
        <w:t xml:space="preserve"> </w:t>
      </w:r>
      <w:proofErr w:type="spellStart"/>
      <w:r w:rsidRPr="006705CC">
        <w:rPr>
          <w:b/>
          <w:bCs/>
        </w:rPr>
        <w:t>UFnet</w:t>
      </w:r>
      <w:proofErr w:type="spellEnd"/>
      <w:r w:rsidRPr="006705CC">
        <w:rPr>
          <w:b/>
          <w:bCs/>
        </w:rPr>
        <w:t xml:space="preserve"> </w:t>
      </w:r>
      <w:r w:rsidRPr="006705CC">
        <w:rPr>
          <w:b/>
          <w:bCs/>
          <w:rtl/>
        </w:rPr>
        <w:t>وتوازن المريض</w:t>
      </w:r>
    </w:p>
    <w:p w14:paraId="473794C6" w14:textId="77777777" w:rsidR="00CC1907" w:rsidRDefault="00CC1907" w:rsidP="00BD2A02">
      <w:pPr>
        <w:bidi/>
        <w:spacing w:after="0"/>
        <w:rPr>
          <w:rtl/>
        </w:rPr>
      </w:pPr>
      <w:r>
        <w:rPr>
          <w:rFonts w:hint="cs"/>
          <w:rtl/>
        </w:rPr>
        <w:t xml:space="preserve">الـ </w:t>
      </w:r>
      <w:proofErr w:type="spellStart"/>
      <w:r w:rsidR="00BD2A02">
        <w:t>UFnet</w:t>
      </w:r>
      <w:proofErr w:type="spellEnd"/>
      <w:r>
        <w:rPr>
          <w:rFonts w:hint="cs"/>
          <w:rtl/>
        </w:rPr>
        <w:t xml:space="preserve"> </w:t>
      </w:r>
      <w:r w:rsidR="00BD2A02">
        <w:t xml:space="preserve"> </w:t>
      </w:r>
      <w:r w:rsidR="00BD2A02">
        <w:rPr>
          <w:rtl/>
        </w:rPr>
        <w:t xml:space="preserve">على مستوى الجهاز هو صافي إزالة الجهاز بعد طرح معدل محلول التعويض من معدل الترشيح الفائق الكلي. </w:t>
      </w:r>
    </w:p>
    <w:p w14:paraId="29DFC99E" w14:textId="77777777" w:rsidR="00CC1907" w:rsidRDefault="00BD2A02" w:rsidP="00CC1907">
      <w:pPr>
        <w:bidi/>
        <w:spacing w:after="0"/>
        <w:rPr>
          <w:rtl/>
        </w:rPr>
      </w:pPr>
      <w:r>
        <w:rPr>
          <w:rtl/>
        </w:rPr>
        <w:t>أما توازن السوائل لدى المريض فيشمل جميع السوائل الداخلة والخارجة، بما فيها الأدوية والتغذية والسوائل الوريدية والبول ومخرجات أخرى.</w:t>
      </w:r>
    </w:p>
    <w:p w14:paraId="57E94A07" w14:textId="094679CF" w:rsidR="00BD2A02" w:rsidRDefault="00BD2A02" w:rsidP="00CC1907">
      <w:pPr>
        <w:bidi/>
        <w:spacing w:after="0"/>
        <w:rPr>
          <w:rtl/>
        </w:rPr>
      </w:pPr>
      <w:r>
        <w:rPr>
          <w:rtl/>
        </w:rPr>
        <w:t>لذا لا يعادل رقم</w:t>
      </w:r>
      <w:r>
        <w:t xml:space="preserve"> </w:t>
      </w:r>
      <w:proofErr w:type="spellStart"/>
      <w:r>
        <w:t>UFnet</w:t>
      </w:r>
      <w:proofErr w:type="spellEnd"/>
      <w:r>
        <w:t xml:space="preserve"> </w:t>
      </w:r>
      <w:r>
        <w:rPr>
          <w:rtl/>
        </w:rPr>
        <w:t>توازن المريض الكلي</w:t>
      </w:r>
      <w:r>
        <w:t xml:space="preserve"> [4].</w:t>
      </w:r>
    </w:p>
    <w:p w14:paraId="036DC6A4" w14:textId="77777777" w:rsidR="00CC1907" w:rsidRPr="002D033A" w:rsidRDefault="00CC1907" w:rsidP="00CC1907">
      <w:pPr>
        <w:bidi/>
        <w:spacing w:after="0"/>
        <w:rPr>
          <w:rFonts w:asciiTheme="minorBidi" w:hAnsiTheme="minorBidi"/>
          <w:b/>
          <w:bCs/>
          <w:sz w:val="24"/>
          <w:szCs w:val="24"/>
        </w:rPr>
      </w:pPr>
      <w:r w:rsidRPr="00CC1907">
        <w:rPr>
          <w:rFonts w:asciiTheme="minorBidi" w:hAnsiTheme="minorBidi"/>
          <w:sz w:val="24"/>
          <w:szCs w:val="24"/>
        </w:rPr>
        <w:t xml:space="preserve">Machine </w:t>
      </w:r>
      <w:proofErr w:type="spellStart"/>
      <w:r w:rsidRPr="00CC1907">
        <w:rPr>
          <w:rFonts w:asciiTheme="minorBidi" w:hAnsiTheme="minorBidi"/>
          <w:sz w:val="24"/>
          <w:szCs w:val="24"/>
        </w:rPr>
        <w:t>UFnet</w:t>
      </w:r>
      <w:proofErr w:type="spellEnd"/>
      <w:r w:rsidRPr="00CC1907">
        <w:rPr>
          <w:rFonts w:asciiTheme="minorBidi" w:hAnsiTheme="minorBidi"/>
          <w:sz w:val="24"/>
          <w:szCs w:val="24"/>
        </w:rPr>
        <w:t xml:space="preserve"> </w:t>
      </w:r>
      <w:r w:rsidRPr="002D033A">
        <w:rPr>
          <w:rFonts w:asciiTheme="minorBidi" w:hAnsiTheme="minorBidi"/>
          <w:b/>
          <w:bCs/>
          <w:sz w:val="24"/>
          <w:szCs w:val="24"/>
        </w:rPr>
        <w:t xml:space="preserve">≠ </w:t>
      </w:r>
      <w:r w:rsidRPr="00CC1907">
        <w:rPr>
          <w:rFonts w:asciiTheme="minorBidi" w:hAnsiTheme="minorBidi"/>
          <w:sz w:val="24"/>
          <w:szCs w:val="24"/>
        </w:rPr>
        <w:t>Patient net fluid balance</w:t>
      </w:r>
    </w:p>
    <w:p w14:paraId="28BA0565" w14:textId="77777777" w:rsidR="00CC1907" w:rsidRPr="00CC1907" w:rsidRDefault="00CC1907" w:rsidP="00CC1907">
      <w:pPr>
        <w:bidi/>
        <w:spacing w:after="0"/>
      </w:pPr>
    </w:p>
    <w:p w14:paraId="251AEA33" w14:textId="77777777" w:rsidR="00CC1907" w:rsidRPr="00CC1907" w:rsidRDefault="00CC1907" w:rsidP="00CC1907">
      <w:pPr>
        <w:bidi/>
        <w:spacing w:after="0"/>
        <w:rPr>
          <w:rFonts w:asciiTheme="minorBidi" w:hAnsiTheme="minorBidi"/>
          <w:b/>
          <w:bCs/>
          <w:sz w:val="24"/>
          <w:szCs w:val="24"/>
          <w:rtl/>
        </w:rPr>
      </w:pPr>
      <w:r w:rsidRPr="00CC1907">
        <w:rPr>
          <w:rFonts w:asciiTheme="minorBidi" w:hAnsiTheme="minorBidi"/>
          <w:b/>
          <w:bCs/>
          <w:sz w:val="24"/>
          <w:szCs w:val="24"/>
          <w:rtl/>
        </w:rPr>
        <w:t>وصف الترشيح الفائق الصافي</w:t>
      </w:r>
    </w:p>
    <w:p w14:paraId="14976BFD"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توجد عدة طرق لوصف الترشيح الفائق الصافي</w:t>
      </w:r>
      <w:r w:rsidRPr="00110337">
        <w:rPr>
          <w:rFonts w:asciiTheme="minorBidi" w:hAnsiTheme="minorBidi"/>
          <w:sz w:val="24"/>
          <w:szCs w:val="24"/>
        </w:rPr>
        <w:t>.</w:t>
      </w:r>
    </w:p>
    <w:p w14:paraId="10168B00"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وأكثر الطرق شيوعًا هي أن يقوم طاقم التمريض بإجراء تعديلات كل ساعة على معدل الترشيح الفائق الصافي للجهاز للوصول إلى الأهداف الموصوفة لتوازن السوائل الصافي لدى المريض، سواء كانت هذه الأهداف</w:t>
      </w:r>
      <w:r>
        <w:rPr>
          <w:rFonts w:asciiTheme="minorBidi" w:hAnsiTheme="minorBidi" w:hint="cs"/>
          <w:sz w:val="24"/>
          <w:szCs w:val="24"/>
          <w:rtl/>
        </w:rPr>
        <w:t xml:space="preserve"> س</w:t>
      </w:r>
      <w:r w:rsidRPr="00110337">
        <w:rPr>
          <w:rFonts w:asciiTheme="minorBidi" w:hAnsiTheme="minorBidi"/>
          <w:sz w:val="24"/>
          <w:szCs w:val="24"/>
          <w:rtl/>
        </w:rPr>
        <w:t>اعية</w:t>
      </w:r>
      <w:r>
        <w:rPr>
          <w:rFonts w:asciiTheme="minorBidi" w:hAnsiTheme="minorBidi" w:hint="cs"/>
          <w:sz w:val="24"/>
          <w:szCs w:val="24"/>
          <w:rtl/>
        </w:rPr>
        <w:t xml:space="preserve"> </w:t>
      </w:r>
      <w:r w:rsidRPr="00110337">
        <w:rPr>
          <w:rFonts w:asciiTheme="minorBidi" w:hAnsiTheme="minorBidi"/>
          <w:sz w:val="24"/>
          <w:szCs w:val="24"/>
          <w:rtl/>
        </w:rPr>
        <w:t>أو يومية</w:t>
      </w:r>
      <w:r w:rsidRPr="00110337">
        <w:rPr>
          <w:rFonts w:asciiTheme="minorBidi" w:hAnsiTheme="minorBidi"/>
          <w:sz w:val="24"/>
          <w:szCs w:val="24"/>
        </w:rPr>
        <w:t>.</w:t>
      </w:r>
    </w:p>
    <w:p w14:paraId="4BDF3A6B" w14:textId="77777777" w:rsidR="00CC1907" w:rsidRDefault="00CC1907" w:rsidP="00CC1907">
      <w:pPr>
        <w:bidi/>
        <w:spacing w:after="0"/>
        <w:rPr>
          <w:rFonts w:asciiTheme="minorBidi" w:hAnsiTheme="minorBidi"/>
          <w:sz w:val="24"/>
          <w:szCs w:val="24"/>
          <w:rtl/>
        </w:rPr>
      </w:pPr>
    </w:p>
    <w:p w14:paraId="4DD0F648" w14:textId="0E9AF0AB"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وعلى الرغم من وجود العديد من التجارب الجارية، فما تزال البيانات الصارمة التي تحدد أفضل استراتيجية لإدارة الحجم باستخدام</w:t>
      </w:r>
      <w:r w:rsidRPr="00110337">
        <w:rPr>
          <w:rFonts w:asciiTheme="minorBidi" w:hAnsiTheme="minorBidi"/>
          <w:sz w:val="24"/>
          <w:szCs w:val="24"/>
        </w:rPr>
        <w:t xml:space="preserve"> CKRT</w:t>
      </w:r>
      <w:r>
        <w:rPr>
          <w:rFonts w:asciiTheme="minorBidi" w:hAnsiTheme="minorBidi" w:hint="cs"/>
          <w:sz w:val="24"/>
          <w:szCs w:val="24"/>
          <w:rtl/>
        </w:rPr>
        <w:t xml:space="preserve"> </w:t>
      </w:r>
      <w:r w:rsidRPr="00110337">
        <w:rPr>
          <w:rFonts w:asciiTheme="minorBidi" w:hAnsiTheme="minorBidi"/>
          <w:sz w:val="24"/>
          <w:szCs w:val="24"/>
          <w:rtl/>
        </w:rPr>
        <w:t>غير كافية</w:t>
      </w:r>
      <w:r w:rsidRPr="00110337">
        <w:rPr>
          <w:rFonts w:asciiTheme="minorBidi" w:hAnsiTheme="minorBidi"/>
          <w:sz w:val="24"/>
          <w:szCs w:val="24"/>
        </w:rPr>
        <w:t>.</w:t>
      </w:r>
    </w:p>
    <w:p w14:paraId="64851912"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ولدى أي مريض بحالة حرجة يحتاج إلى</w:t>
      </w:r>
      <w:r w:rsidRPr="00110337">
        <w:rPr>
          <w:rFonts w:asciiTheme="minorBidi" w:hAnsiTheme="minorBidi"/>
          <w:sz w:val="24"/>
          <w:szCs w:val="24"/>
        </w:rPr>
        <w:t xml:space="preserve"> CKRT</w:t>
      </w:r>
      <w:r w:rsidRPr="00110337">
        <w:rPr>
          <w:rFonts w:asciiTheme="minorBidi" w:hAnsiTheme="minorBidi"/>
          <w:sz w:val="24"/>
          <w:szCs w:val="24"/>
          <w:rtl/>
        </w:rPr>
        <w:t>، ينبغي لفريق أمراض الكلى وفريق العناية الحرجة استخدام جميع البيانات المتاحة المتعلقة بـالحالة الديناميكية الدموية</w:t>
      </w:r>
      <w:r>
        <w:rPr>
          <w:rFonts w:asciiTheme="minorBidi" w:hAnsiTheme="minorBidi" w:hint="cs"/>
          <w:sz w:val="24"/>
          <w:szCs w:val="24"/>
          <w:rtl/>
        </w:rPr>
        <w:t xml:space="preserve"> و </w:t>
      </w:r>
      <w:r w:rsidRPr="00110337">
        <w:rPr>
          <w:rFonts w:asciiTheme="minorBidi" w:hAnsiTheme="minorBidi"/>
          <w:sz w:val="24"/>
          <w:szCs w:val="24"/>
          <w:rtl/>
        </w:rPr>
        <w:t>حالة السوائل</w:t>
      </w:r>
      <w:r w:rsidRPr="00110337">
        <w:rPr>
          <w:rFonts w:asciiTheme="minorBidi" w:hAnsiTheme="minorBidi"/>
          <w:sz w:val="24"/>
          <w:szCs w:val="24"/>
        </w:rPr>
        <w:t>.</w:t>
      </w:r>
    </w:p>
    <w:p w14:paraId="611FBD79"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ويُفضّل أن تتضمن هذه البيانات مقاييس ديناميكية لحالة الحجم، وذلك لتوجيه وصف الترشيح الفائق الصافي</w:t>
      </w:r>
      <w:r w:rsidRPr="00110337">
        <w:rPr>
          <w:rFonts w:asciiTheme="minorBidi" w:hAnsiTheme="minorBidi"/>
          <w:sz w:val="24"/>
          <w:szCs w:val="24"/>
        </w:rPr>
        <w:t>.</w:t>
      </w:r>
    </w:p>
    <w:p w14:paraId="19B4C76A" w14:textId="77777777" w:rsidR="00CC1907" w:rsidRPr="00110337" w:rsidRDefault="00CC1907" w:rsidP="00CC1907">
      <w:pPr>
        <w:bidi/>
        <w:spacing w:after="0"/>
        <w:rPr>
          <w:rFonts w:asciiTheme="minorBidi" w:hAnsiTheme="minorBidi"/>
          <w:sz w:val="24"/>
          <w:szCs w:val="24"/>
          <w:rtl/>
        </w:rPr>
      </w:pPr>
      <w:r w:rsidRPr="00110337">
        <w:rPr>
          <w:rFonts w:asciiTheme="minorBidi" w:hAnsiTheme="minorBidi"/>
          <w:sz w:val="24"/>
          <w:szCs w:val="24"/>
          <w:rtl/>
        </w:rPr>
        <w:t>إضافةً إلى ذلك، فإن الطبيعة المتغيرة باستمرار للحالات الحرجة تستلزم</w:t>
      </w:r>
      <w:r>
        <w:rPr>
          <w:rFonts w:asciiTheme="minorBidi" w:hAnsiTheme="minorBidi" w:hint="cs"/>
          <w:sz w:val="24"/>
          <w:szCs w:val="24"/>
          <w:rtl/>
        </w:rPr>
        <w:t xml:space="preserve"> </w:t>
      </w:r>
      <w:r w:rsidRPr="00110337">
        <w:rPr>
          <w:rFonts w:asciiTheme="minorBidi" w:hAnsiTheme="minorBidi"/>
          <w:sz w:val="24"/>
          <w:szCs w:val="24"/>
          <w:rtl/>
        </w:rPr>
        <w:t>إعادة تقييم متكرر ومتسلسل لأهداف الترشيح الفائق ومدى تحمّل المريض له</w:t>
      </w:r>
      <w:r w:rsidRPr="00110337">
        <w:rPr>
          <w:rFonts w:asciiTheme="minorBidi" w:hAnsiTheme="minorBidi"/>
          <w:sz w:val="24"/>
          <w:szCs w:val="24"/>
        </w:rPr>
        <w:t>.</w:t>
      </w:r>
    </w:p>
    <w:p w14:paraId="1D47B147" w14:textId="77777777" w:rsidR="00B05DA2" w:rsidRDefault="00B05DA2" w:rsidP="00BD2A02">
      <w:pPr>
        <w:bidi/>
        <w:spacing w:after="0"/>
        <w:rPr>
          <w:rtl/>
        </w:rPr>
      </w:pPr>
    </w:p>
    <w:p w14:paraId="6CA5DA07" w14:textId="6677CEDC" w:rsidR="00BD2A02" w:rsidRPr="00CC1907" w:rsidRDefault="00BD2A02" w:rsidP="00B05DA2">
      <w:pPr>
        <w:bidi/>
        <w:spacing w:after="0"/>
        <w:rPr>
          <w:b/>
          <w:bCs/>
          <w:sz w:val="24"/>
          <w:szCs w:val="24"/>
        </w:rPr>
      </w:pPr>
      <w:r w:rsidRPr="00CC1907">
        <w:rPr>
          <w:b/>
          <w:bCs/>
          <w:sz w:val="24"/>
          <w:szCs w:val="24"/>
          <w:rtl/>
        </w:rPr>
        <w:t>الفوسفات في محاليل</w:t>
      </w:r>
      <w:r w:rsidRPr="00CC1907">
        <w:rPr>
          <w:b/>
          <w:bCs/>
          <w:sz w:val="24"/>
          <w:szCs w:val="24"/>
        </w:rPr>
        <w:t xml:space="preserve"> CKRT</w:t>
      </w:r>
    </w:p>
    <w:p w14:paraId="31AA3947" w14:textId="77777777" w:rsidR="00BD2A02" w:rsidRDefault="00BD2A02" w:rsidP="00BD2A02">
      <w:pPr>
        <w:bidi/>
        <w:spacing w:after="0"/>
      </w:pPr>
      <w:r>
        <w:rPr>
          <w:rtl/>
        </w:rPr>
        <w:t>كثير من المحاليل المستخدمة في</w:t>
      </w:r>
      <w:r>
        <w:t xml:space="preserve"> CKRT </w:t>
      </w:r>
      <w:r>
        <w:rPr>
          <w:rtl/>
        </w:rPr>
        <w:t>لا تحتوي على الفوسفات؛ لذلك قد يحدث نقص فوسفات الدم أثناء العلاج المستمر. في دراسة رصدية كبيرة، ارتبطت المحاليل المحتوية على الفوسفات بانخفاض حدوث نقص الفوسفات مقارنةً بالمحاليل غير المحتوية عليه (21% مقابل 62%). هذه علاقة رصدية وليست إثباتًا على تحسن النتائج السريرية</w:t>
      </w:r>
      <w:r>
        <w:t xml:space="preserve"> [3].</w:t>
      </w:r>
    </w:p>
    <w:p w14:paraId="6A6420A6" w14:textId="77777777" w:rsidR="00BD2A02" w:rsidRDefault="00BD2A02" w:rsidP="00BD2A02">
      <w:pPr>
        <w:bidi/>
        <w:spacing w:after="0"/>
      </w:pPr>
      <w:r>
        <w:rPr>
          <w:rtl/>
        </w:rPr>
        <w:t>تُراجع تراكيز الفوسفات دوريًا، ويُختار التعويض أو المحلول المحتوي على الفوسفات وفق نتيجة المختبر، والتركيب المتاح، والبروتوكول</w:t>
      </w:r>
      <w:r>
        <w:t>.</w:t>
      </w:r>
    </w:p>
    <w:p w14:paraId="65F0EB17" w14:textId="77777777" w:rsidR="00B05DA2" w:rsidRDefault="00B05DA2" w:rsidP="00BD2A02">
      <w:pPr>
        <w:bidi/>
        <w:spacing w:after="0"/>
        <w:rPr>
          <w:rtl/>
        </w:rPr>
      </w:pPr>
    </w:p>
    <w:p w14:paraId="7911DD54" w14:textId="77777777" w:rsidR="00CC1907" w:rsidRDefault="00CC1907" w:rsidP="00CC1907">
      <w:pPr>
        <w:bidi/>
        <w:spacing w:after="0"/>
        <w:rPr>
          <w:rtl/>
        </w:rPr>
      </w:pPr>
    </w:p>
    <w:p w14:paraId="5E60D033" w14:textId="77777777" w:rsidR="00CC1907" w:rsidRDefault="00CC1907" w:rsidP="00CC1907">
      <w:pPr>
        <w:bidi/>
        <w:spacing w:after="0"/>
        <w:rPr>
          <w:rtl/>
        </w:rPr>
      </w:pPr>
    </w:p>
    <w:p w14:paraId="1E456190" w14:textId="5340545A" w:rsidR="00BD2A02" w:rsidRPr="00CC1907" w:rsidRDefault="00BD2A02" w:rsidP="00B05DA2">
      <w:pPr>
        <w:bidi/>
        <w:spacing w:after="0"/>
        <w:rPr>
          <w:b/>
          <w:bCs/>
          <w:sz w:val="24"/>
          <w:szCs w:val="24"/>
        </w:rPr>
      </w:pPr>
      <w:r w:rsidRPr="00CC1907">
        <w:rPr>
          <w:b/>
          <w:bCs/>
          <w:sz w:val="24"/>
          <w:szCs w:val="24"/>
          <w:rtl/>
        </w:rPr>
        <w:lastRenderedPageBreak/>
        <w:t>خطة المراقبة</w:t>
      </w:r>
    </w:p>
    <w:p w14:paraId="13AC3D91" w14:textId="18B9C663" w:rsidR="00CC1907" w:rsidRDefault="00CC1907" w:rsidP="00CC1907">
      <w:pPr>
        <w:pStyle w:val="Listenabsatz"/>
        <w:numPr>
          <w:ilvl w:val="0"/>
          <w:numId w:val="12"/>
        </w:numPr>
        <w:bidi/>
        <w:spacing w:after="0"/>
        <w:rPr>
          <w:rtl/>
        </w:rPr>
      </w:pPr>
      <w:r>
        <w:rPr>
          <w:rtl/>
        </w:rPr>
        <w:t>مراجعة صوديوم الدم وتواتر القياس عند تعديل تركيز الصوديوم في المحلول أو إضافة</w:t>
      </w:r>
      <w:r>
        <w:rPr>
          <w:rFonts w:hint="cs"/>
          <w:rtl/>
        </w:rPr>
        <w:t xml:space="preserve"> </w:t>
      </w:r>
      <w:r>
        <w:t xml:space="preserve"> D5W</w:t>
      </w:r>
    </w:p>
    <w:p w14:paraId="51C2A038" w14:textId="3739D0FB" w:rsidR="00CC1907" w:rsidRDefault="00CC1907" w:rsidP="00CC1907">
      <w:pPr>
        <w:pStyle w:val="Listenabsatz"/>
        <w:numPr>
          <w:ilvl w:val="0"/>
          <w:numId w:val="12"/>
        </w:numPr>
        <w:bidi/>
        <w:spacing w:after="0"/>
        <w:rPr>
          <w:rtl/>
        </w:rPr>
      </w:pPr>
      <w:r>
        <w:rPr>
          <w:rtl/>
        </w:rPr>
        <w:t>متابعة البوتاسيوم، الفوسفات، المغنيسيوم، الكالسيوم، والبيكربونات وفق حالة المريض</w:t>
      </w:r>
      <w:r>
        <w:t>.</w:t>
      </w:r>
    </w:p>
    <w:p w14:paraId="32895531" w14:textId="6500C95F" w:rsidR="00CC1907" w:rsidRDefault="00CC1907" w:rsidP="00CC1907">
      <w:pPr>
        <w:pStyle w:val="Listenabsatz"/>
        <w:numPr>
          <w:ilvl w:val="0"/>
          <w:numId w:val="12"/>
        </w:numPr>
        <w:bidi/>
        <w:spacing w:after="0"/>
        <w:rPr>
          <w:rtl/>
        </w:rPr>
      </w:pPr>
      <w:r>
        <w:rPr>
          <w:rtl/>
        </w:rPr>
        <w:t>تسجيل</w:t>
      </w:r>
      <w:r>
        <w:t xml:space="preserve"> </w:t>
      </w:r>
      <w:proofErr w:type="spellStart"/>
      <w:r>
        <w:t>UFnet</w:t>
      </w:r>
      <w:proofErr w:type="spellEnd"/>
      <w:r>
        <w:t xml:space="preserve"> </w:t>
      </w:r>
      <w:r>
        <w:rPr>
          <w:rtl/>
        </w:rPr>
        <w:t>الموصوف والمحقق إلى جانب توازن السوائل الكلي للمريض</w:t>
      </w:r>
      <w:r>
        <w:t>.</w:t>
      </w:r>
    </w:p>
    <w:p w14:paraId="19FA72E5" w14:textId="59A2F286" w:rsidR="00CC1907" w:rsidRDefault="00CC1907" w:rsidP="00CC1907">
      <w:pPr>
        <w:pStyle w:val="Listenabsatz"/>
        <w:numPr>
          <w:ilvl w:val="0"/>
          <w:numId w:val="12"/>
        </w:numPr>
        <w:bidi/>
        <w:spacing w:after="0"/>
        <w:rPr>
          <w:rtl/>
        </w:rPr>
      </w:pPr>
      <w:r>
        <w:rPr>
          <w:rtl/>
        </w:rPr>
        <w:t>إعادة مطابقة إعداد المضخة مع وصفة العلاج بعد كل تغيير في المحاليل أو معدلات التدفق.</w:t>
      </w:r>
    </w:p>
    <w:p w14:paraId="52C54395" w14:textId="77777777" w:rsidR="00CC1907" w:rsidRDefault="00CC1907" w:rsidP="00CC1907">
      <w:pPr>
        <w:spacing w:after="0"/>
      </w:pPr>
    </w:p>
    <w:p w14:paraId="7B7854F0" w14:textId="77777777" w:rsidR="00BD2A02" w:rsidRDefault="00BD2A02" w:rsidP="00CC1907">
      <w:pPr>
        <w:spacing w:after="0"/>
      </w:pPr>
      <w:r>
        <w:rPr>
          <w:rtl/>
        </w:rPr>
        <w:t>المراجع</w:t>
      </w:r>
    </w:p>
    <w:p w14:paraId="525F7EE9" w14:textId="77777777" w:rsidR="00BD2A02" w:rsidRDefault="00BD2A02" w:rsidP="00CC1907">
      <w:pPr>
        <w:spacing w:after="0"/>
      </w:pPr>
      <w:r>
        <w:t>[1] Yessayan L, et al. Management of Severe Hyponatremia with Continuous Renal Replacement Therapies. Semin Dial. 2018. https://pmc.ncbi.nlm.nih.gov/articles/PMC5969490/.</w:t>
      </w:r>
    </w:p>
    <w:p w14:paraId="34949713" w14:textId="77777777" w:rsidR="00BD2A02" w:rsidRDefault="00BD2A02" w:rsidP="00CC1907">
      <w:pPr>
        <w:spacing w:after="0"/>
      </w:pPr>
      <w:r>
        <w:t>[2] Lippold C, Patel A. How To Prescribe And Troubleshoot Continuous Renal Replacement Therapy: A Case-Based Review. Kidney360. 2021. https://pmc.ncbi.nlm.nih.gov/articles/PMC8741005/.</w:t>
      </w:r>
    </w:p>
    <w:p w14:paraId="437472FE" w14:textId="77777777" w:rsidR="00BD2A02" w:rsidRDefault="00BD2A02" w:rsidP="00CC1907">
      <w:pPr>
        <w:spacing w:after="0"/>
      </w:pPr>
      <w:r>
        <w:t>[3] Baeg SI, et al. Association of Phosphate Containing Solutions with Incident Hypophosphatemia in Critically Ill Patients Requiring Continuous Renal Replacement Therapy. Kidney360. 2021. PMID:33915554.</w:t>
      </w:r>
    </w:p>
    <w:p w14:paraId="4D29AE7E" w14:textId="656C51DD" w:rsidR="006E29ED" w:rsidRPr="00BD2A02" w:rsidRDefault="00BD2A02" w:rsidP="00CC1907">
      <w:pPr>
        <w:spacing w:after="0"/>
      </w:pPr>
      <w:r>
        <w:t>[4] KDIGO. Clinical Practice Guideline for Acute Kidney Injury. Kidney Int Suppl. 2012;2:1–138.</w:t>
      </w:r>
    </w:p>
    <w:sectPr w:rsidR="006E29ED" w:rsidRPr="00BD2A02"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CDB8804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7F911A4"/>
    <w:multiLevelType w:val="hybridMultilevel"/>
    <w:tmpl w:val="4D02DC4C"/>
    <w:lvl w:ilvl="0" w:tplc="99BC2C5C">
      <w:numFmt w:val="bullet"/>
      <w:lvlText w:val="•"/>
      <w:lvlJc w:val="left"/>
      <w:pPr>
        <w:ind w:left="1080" w:hanging="72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2D07555"/>
    <w:multiLevelType w:val="hybridMultilevel"/>
    <w:tmpl w:val="435CA1F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386060A"/>
    <w:multiLevelType w:val="hybridMultilevel"/>
    <w:tmpl w:val="CCBAB7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ADC29A0"/>
    <w:multiLevelType w:val="hybridMultilevel"/>
    <w:tmpl w:val="318E7A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61308687">
    <w:abstractNumId w:val="8"/>
  </w:num>
  <w:num w:numId="2" w16cid:durableId="1509253596">
    <w:abstractNumId w:val="6"/>
  </w:num>
  <w:num w:numId="3" w16cid:durableId="243299056">
    <w:abstractNumId w:val="5"/>
  </w:num>
  <w:num w:numId="4" w16cid:durableId="2134981839">
    <w:abstractNumId w:val="4"/>
  </w:num>
  <w:num w:numId="5" w16cid:durableId="835266341">
    <w:abstractNumId w:val="7"/>
  </w:num>
  <w:num w:numId="6" w16cid:durableId="1553693180">
    <w:abstractNumId w:val="3"/>
  </w:num>
  <w:num w:numId="7" w16cid:durableId="872378372">
    <w:abstractNumId w:val="2"/>
  </w:num>
  <w:num w:numId="8" w16cid:durableId="357397044">
    <w:abstractNumId w:val="1"/>
  </w:num>
  <w:num w:numId="9" w16cid:durableId="446239524">
    <w:abstractNumId w:val="0"/>
  </w:num>
  <w:num w:numId="10" w16cid:durableId="1141341072">
    <w:abstractNumId w:val="10"/>
  </w:num>
  <w:num w:numId="11" w16cid:durableId="1466464120">
    <w:abstractNumId w:val="12"/>
  </w:num>
  <w:num w:numId="12" w16cid:durableId="551229196">
    <w:abstractNumId w:val="11"/>
  </w:num>
  <w:num w:numId="13" w16cid:durableId="13294089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4893"/>
    <w:rsid w:val="00326F90"/>
    <w:rsid w:val="003653A2"/>
    <w:rsid w:val="00451BF0"/>
    <w:rsid w:val="004E05C1"/>
    <w:rsid w:val="004E70DB"/>
    <w:rsid w:val="005C0BF2"/>
    <w:rsid w:val="006705CC"/>
    <w:rsid w:val="006E29ED"/>
    <w:rsid w:val="00AA1D8D"/>
    <w:rsid w:val="00B05DA2"/>
    <w:rsid w:val="00B47730"/>
    <w:rsid w:val="00BD2A02"/>
    <w:rsid w:val="00CB0664"/>
    <w:rsid w:val="00CC1907"/>
    <w:rsid w:val="00D66DCF"/>
    <w:rsid w:val="00D858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17E18"/>
  <w14:defaultImageDpi w14:val="300"/>
  <w15:docId w15:val="{A4425782-E91F-43D0-A7E7-566239DB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s="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49A9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4E05C1"/>
    <w:rPr>
      <w:color w:val="0000FF" w:themeColor="hyperlink"/>
      <w:u w:val="single"/>
    </w:rPr>
  </w:style>
  <w:style w:type="character" w:styleId="NichtaufgelsteErwhnung">
    <w:name w:val="Unresolved Mention"/>
    <w:basedOn w:val="Absatz-Standardschriftart"/>
    <w:uiPriority w:val="99"/>
    <w:semiHidden/>
    <w:unhideWhenUsed/>
    <w:rsid w:val="004E0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8217</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Mahmoud Alhariri</cp:lastModifiedBy>
  <cp:revision>6</cp:revision>
  <dcterms:created xsi:type="dcterms:W3CDTF">2013-12-23T23:15:00Z</dcterms:created>
  <dcterms:modified xsi:type="dcterms:W3CDTF">2026-10-03T10:08:00Z</dcterms:modified>
  <cp:category/>
</cp:coreProperties>
</file>