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AA04" w14:textId="77777777" w:rsidR="005C682A" w:rsidRPr="00632F50" w:rsidRDefault="005C682A" w:rsidP="00632F50">
      <w:pPr>
        <w:bidi/>
        <w:spacing w:after="0" w:line="283" w:lineRule="auto"/>
        <w:rPr>
          <w:rFonts w:eastAsiaTheme="majorEastAsia"/>
          <w:b/>
          <w:color w:val="17324D"/>
          <w:spacing w:val="5"/>
          <w:kern w:val="28"/>
          <w:sz w:val="32"/>
          <w:szCs w:val="32"/>
          <w:rtl/>
        </w:rPr>
      </w:pPr>
      <w:r w:rsidRPr="00632F50">
        <w:rPr>
          <w:rFonts w:eastAsiaTheme="majorEastAsia"/>
          <w:b/>
          <w:color w:val="17324D"/>
          <w:spacing w:val="5"/>
          <w:kern w:val="28"/>
          <w:sz w:val="32"/>
          <w:szCs w:val="32"/>
          <w:rtl/>
        </w:rPr>
        <w:t xml:space="preserve">توقيت بدء </w:t>
      </w:r>
      <w:r w:rsidRPr="00632F50">
        <w:rPr>
          <w:rFonts w:eastAsiaTheme="majorEastAsia"/>
          <w:b/>
          <w:color w:val="17324D"/>
          <w:spacing w:val="5"/>
          <w:kern w:val="28"/>
          <w:sz w:val="32"/>
          <w:szCs w:val="32"/>
        </w:rPr>
        <w:t>CKRT</w:t>
      </w:r>
      <w:r w:rsidRPr="00632F50">
        <w:rPr>
          <w:rFonts w:eastAsiaTheme="majorEastAsia"/>
          <w:b/>
          <w:color w:val="17324D"/>
          <w:spacing w:val="5"/>
          <w:kern w:val="28"/>
          <w:sz w:val="32"/>
          <w:szCs w:val="32"/>
          <w:rtl/>
        </w:rPr>
        <w:t xml:space="preserve"> وإيقافه</w:t>
      </w:r>
    </w:p>
    <w:p w14:paraId="588AEDB1" w14:textId="13576F6E" w:rsidR="005C682A" w:rsidRPr="00632F50" w:rsidRDefault="005C682A" w:rsidP="00632F50">
      <w:pPr>
        <w:bidi/>
        <w:spacing w:after="0" w:line="283" w:lineRule="auto"/>
        <w:rPr>
          <w:rFonts w:eastAsiaTheme="majorEastAsia"/>
          <w:b/>
          <w:color w:val="17324D"/>
          <w:spacing w:val="5"/>
          <w:kern w:val="28"/>
          <w:sz w:val="32"/>
          <w:szCs w:val="32"/>
          <w:rtl/>
        </w:rPr>
      </w:pPr>
      <w:r w:rsidRPr="00632F50">
        <w:rPr>
          <w:rFonts w:eastAsiaTheme="majorEastAsia"/>
          <w:b/>
          <w:color w:val="17324D"/>
          <w:spacing w:val="5"/>
          <w:kern w:val="28"/>
          <w:sz w:val="32"/>
          <w:szCs w:val="32"/>
        </w:rPr>
        <w:t>Timing of CKRT Initiation and Discontinuation</w:t>
      </w:r>
    </w:p>
    <w:p w14:paraId="712375AB" w14:textId="77777777" w:rsidR="00AC72DF" w:rsidRDefault="00000000" w:rsidP="00172DB9">
      <w:pPr>
        <w:pStyle w:val="berschrift1"/>
        <w:bidi/>
        <w:spacing w:after="100" w:line="283" w:lineRule="auto"/>
      </w:pPr>
      <w:r>
        <w:rPr>
          <w:rFonts w:ascii="Arial" w:hAnsi="Arial" w:cs="Arial"/>
          <w:rtl/>
        </w:rPr>
        <w:t>توقيت البدء</w:t>
      </w:r>
    </w:p>
    <w:p w14:paraId="78661871" w14:textId="77777777" w:rsidR="00AC72DF" w:rsidRDefault="00000000" w:rsidP="005C682A">
      <w:pPr>
        <w:bidi/>
        <w:spacing w:after="100" w:line="283" w:lineRule="auto"/>
        <w:rPr>
          <w:color w:val="263746"/>
        </w:rPr>
      </w:pPr>
      <w:r>
        <w:rPr>
          <w:color w:val="263746"/>
          <w:rtl/>
        </w:rPr>
        <w:t>يبدأ الغسيل الكلوي المستمر عند وجود استطباب سريري، مثل اضطرابات مهددة للحياة في توازن السوائل أو الشوارد أو الحمض-القاعدة، ويؤخذ القرار وفق السياق الكامل للمريض لا وفق قيمة مخبرية منفردة [1].</w:t>
      </w:r>
    </w:p>
    <w:p w14:paraId="64BD18BF" w14:textId="731AEA2B" w:rsidR="005C682A" w:rsidRDefault="005C682A" w:rsidP="005C682A">
      <w:pPr>
        <w:bidi/>
        <w:spacing w:after="100" w:line="283" w:lineRule="auto"/>
      </w:pPr>
      <w:r>
        <w:rPr>
          <w:rFonts w:hint="cs"/>
          <w:rtl/>
        </w:rPr>
        <w:t>ف</w:t>
      </w:r>
      <w:r>
        <w:rPr>
          <w:rtl/>
        </w:rPr>
        <w:t xml:space="preserve">قد يؤدي بدء </w:t>
      </w:r>
      <w:r>
        <w:t>CKRT</w:t>
      </w:r>
      <w:r>
        <w:rPr>
          <w:rtl/>
        </w:rPr>
        <w:t xml:space="preserve"> في وقت متأخر أكثر من اللازم إلى حدوث مضاعفات ناجمة عن الأذية الكلوية الحادة (</w:t>
      </w:r>
      <w:r>
        <w:t>AKI</w:t>
      </w:r>
      <w:r>
        <w:rPr>
          <w:rtl/>
        </w:rPr>
        <w:t>) وعن فرط الحمل الحجمي. وفي المقابل، فإن البدء المبكر أكثر من اللازم قد يعرّض مرضى ربما لم يكونوا بحاجة فعلية إلى العلاج بالغسيل الكلوي لمخاطره المحتملة.</w:t>
      </w:r>
    </w:p>
    <w:p w14:paraId="7FC49E42" w14:textId="0803FBA5" w:rsidR="00AC72DF" w:rsidRDefault="00000000" w:rsidP="005C682A">
      <w:pPr>
        <w:bidi/>
        <w:spacing w:after="100" w:line="283" w:lineRule="auto"/>
      </w:pPr>
      <w:r>
        <w:rPr>
          <w:color w:val="263746"/>
          <w:rtl/>
        </w:rPr>
        <w:t xml:space="preserve">في تجربة STARRT-AKI، لم تخفض استراتيجية البدء المسرّع </w:t>
      </w:r>
      <w:r w:rsidR="005C682A" w:rsidRPr="00110337">
        <w:rPr>
          <w:rFonts w:asciiTheme="minorBidi" w:hAnsiTheme="minorBidi"/>
          <w:sz w:val="24"/>
          <w:szCs w:val="24"/>
        </w:rPr>
        <w:t>Accelerated</w:t>
      </w:r>
      <w:r w:rsidR="005C682A">
        <w:rPr>
          <w:rFonts w:hint="cs"/>
          <w:color w:val="263746"/>
          <w:rtl/>
        </w:rPr>
        <w:t xml:space="preserve"> </w:t>
      </w:r>
      <w:r>
        <w:rPr>
          <w:color w:val="263746"/>
          <w:rtl/>
        </w:rPr>
        <w:t xml:space="preserve">الوفيات خلال 90 يومًا مقارنةً بالاستراتيجية القياسية، بينما ازدادت بين الناجين نسبة الاعتماد على العلاج </w:t>
      </w:r>
      <w:r w:rsidR="005C682A">
        <w:rPr>
          <w:rFonts w:hint="cs"/>
          <w:color w:val="263746"/>
          <w:rtl/>
        </w:rPr>
        <w:t>بالغسيل</w:t>
      </w:r>
      <w:r>
        <w:rPr>
          <w:color w:val="263746"/>
          <w:rtl/>
        </w:rPr>
        <w:t xml:space="preserve"> الكلوي. تدعم النتيجة تجنب البدء المسرّع روتينيًا عند غياب استطباب عاجل؛ لكنها لا تبرر تأخير العلاج عند وجود استطباب واضح [2].</w:t>
      </w:r>
    </w:p>
    <w:p w14:paraId="44145557" w14:textId="77777777" w:rsidR="005C682A" w:rsidRPr="00110337" w:rsidRDefault="00000000" w:rsidP="005C682A">
      <w:pPr>
        <w:bidi/>
        <w:spacing w:after="0"/>
        <w:rPr>
          <w:rFonts w:asciiTheme="minorBidi" w:hAnsiTheme="minorBidi"/>
          <w:sz w:val="24"/>
          <w:szCs w:val="24"/>
          <w:rtl/>
        </w:rPr>
      </w:pPr>
      <w:r>
        <w:rPr>
          <w:color w:val="263746"/>
          <w:rtl/>
        </w:rPr>
        <w:t xml:space="preserve">في AKIKI وIDEAL-ICU لم يظهر نفع ثابت للبدء المبكر لدى المرضى المشمولين بالتجربتين. </w:t>
      </w:r>
      <w:r w:rsidR="005C682A" w:rsidRPr="00110337">
        <w:rPr>
          <w:rFonts w:asciiTheme="minorBidi" w:hAnsiTheme="minorBidi"/>
          <w:sz w:val="24"/>
          <w:szCs w:val="24"/>
          <w:rtl/>
        </w:rPr>
        <w:t>بل إن بعض الإشارات إلى احتمال حدوث ضرر مع البدء المُسرَّع قد لوحظت، ومنها</w:t>
      </w:r>
      <w:r w:rsidR="005C682A" w:rsidRPr="00110337">
        <w:rPr>
          <w:rFonts w:asciiTheme="minorBidi" w:hAnsiTheme="minorBidi"/>
          <w:sz w:val="24"/>
          <w:szCs w:val="24"/>
        </w:rPr>
        <w:t>:</w:t>
      </w:r>
    </w:p>
    <w:p w14:paraId="5B1AB9BA" w14:textId="77777777" w:rsidR="005C682A" w:rsidRPr="00110337" w:rsidRDefault="005C682A" w:rsidP="005C682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ضعف استعادة وظيفة الكلى</w:t>
      </w:r>
      <w:r w:rsidRPr="00110337">
        <w:rPr>
          <w:rFonts w:asciiTheme="minorBidi" w:hAnsiTheme="minorBidi"/>
          <w:sz w:val="24"/>
          <w:szCs w:val="24"/>
        </w:rPr>
        <w:t>.</w:t>
      </w:r>
    </w:p>
    <w:p w14:paraId="2B540D95" w14:textId="77777777" w:rsidR="005C682A" w:rsidRPr="00110337" w:rsidRDefault="005C682A" w:rsidP="005C682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زيادة حدوث إنتانات مجرى الدم المرتبطة بالقثطار</w:t>
      </w:r>
      <w:r w:rsidRPr="00110337">
        <w:rPr>
          <w:rFonts w:asciiTheme="minorBidi" w:hAnsiTheme="minorBidi"/>
          <w:sz w:val="24"/>
          <w:szCs w:val="24"/>
        </w:rPr>
        <w:t xml:space="preserve"> (Catheter-Related Bloodstream Infections)</w:t>
      </w:r>
    </w:p>
    <w:p w14:paraId="5299CE04" w14:textId="77777777" w:rsidR="005C682A" w:rsidRPr="00110337" w:rsidRDefault="005C682A" w:rsidP="005C682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ارتفاع معدلات انخفاض ضغط الدم</w:t>
      </w:r>
      <w:r w:rsidRPr="00110337">
        <w:rPr>
          <w:rFonts w:asciiTheme="minorBidi" w:hAnsiTheme="minorBidi"/>
          <w:sz w:val="24"/>
          <w:szCs w:val="24"/>
        </w:rPr>
        <w:t>.</w:t>
      </w:r>
    </w:p>
    <w:p w14:paraId="718154D4" w14:textId="77777777" w:rsidR="005C682A" w:rsidRPr="00110337" w:rsidRDefault="005C682A" w:rsidP="005C682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وزيادة حدوث نقص فوسفات الدم</w:t>
      </w:r>
      <w:r w:rsidRPr="00110337">
        <w:rPr>
          <w:rFonts w:asciiTheme="minorBidi" w:hAnsiTheme="minorBidi"/>
          <w:sz w:val="24"/>
          <w:szCs w:val="24"/>
        </w:rPr>
        <w:t>.</w:t>
      </w:r>
    </w:p>
    <w:p w14:paraId="09A04001" w14:textId="77777777" w:rsidR="005C682A" w:rsidRDefault="005C682A" w:rsidP="005C682A">
      <w:pPr>
        <w:bidi/>
        <w:spacing w:after="0"/>
        <w:rPr>
          <w:rFonts w:asciiTheme="minorBidi" w:hAnsiTheme="minorBidi"/>
          <w:sz w:val="24"/>
          <w:szCs w:val="24"/>
          <w:rtl/>
        </w:rPr>
      </w:pPr>
    </w:p>
    <w:p w14:paraId="17865E32" w14:textId="77777777" w:rsidR="005C682A" w:rsidRDefault="005C682A" w:rsidP="005C682A">
      <w:pPr>
        <w:bidi/>
        <w:spacing w:after="0"/>
        <w:rPr>
          <w:rFonts w:asciiTheme="minorBidi" w:hAnsiTheme="minorBidi"/>
          <w:sz w:val="24"/>
          <w:szCs w:val="24"/>
          <w:rtl/>
        </w:rPr>
      </w:pPr>
      <w:r w:rsidRPr="00110337">
        <w:rPr>
          <w:rFonts w:asciiTheme="minorBidi" w:hAnsiTheme="minorBidi"/>
          <w:sz w:val="24"/>
          <w:szCs w:val="24"/>
          <w:rtl/>
        </w:rPr>
        <w:t>أما تجربة</w:t>
      </w:r>
      <w:r w:rsidRPr="00110337">
        <w:rPr>
          <w:rFonts w:asciiTheme="minorBidi" w:hAnsiTheme="minorBidi"/>
          <w:sz w:val="24"/>
          <w:szCs w:val="24"/>
        </w:rPr>
        <w:t xml:space="preserve"> AKIKI-2 </w:t>
      </w:r>
      <w:r w:rsidRPr="00110337">
        <w:rPr>
          <w:rFonts w:asciiTheme="minorBidi" w:hAnsiTheme="minorBidi"/>
          <w:sz w:val="24"/>
          <w:szCs w:val="24"/>
          <w:rtl/>
        </w:rPr>
        <w:t xml:space="preserve">الأحدث، فقد وزّعت المرضى عشوائيًّا إلى استراتيجية بدء قياسية مقابل استراتيجية </w:t>
      </w:r>
      <w:r>
        <w:rPr>
          <w:rFonts w:asciiTheme="minorBidi" w:hAnsiTheme="minorBidi" w:hint="cs"/>
          <w:sz w:val="24"/>
          <w:szCs w:val="24"/>
          <w:rtl/>
        </w:rPr>
        <w:t>(</w:t>
      </w:r>
      <w:r w:rsidRPr="00110337">
        <w:rPr>
          <w:rFonts w:asciiTheme="minorBidi" w:hAnsiTheme="minorBidi"/>
          <w:sz w:val="24"/>
          <w:szCs w:val="24"/>
          <w:rtl/>
        </w:rPr>
        <w:t>أكثر تأخيرا</w:t>
      </w:r>
      <w:r>
        <w:rPr>
          <w:rFonts w:asciiTheme="minorBidi" w:hAnsiTheme="minorBidi" w:hint="cs"/>
          <w:sz w:val="24"/>
          <w:szCs w:val="24"/>
          <w:rtl/>
        </w:rPr>
        <w:t xml:space="preserve">ً) </w:t>
      </w:r>
    </w:p>
    <w:p w14:paraId="77AF814A" w14:textId="42C310EB" w:rsidR="005C682A" w:rsidRPr="00110337" w:rsidRDefault="005C682A" w:rsidP="005C682A">
      <w:pPr>
        <w:bidi/>
        <w:spacing w:after="0"/>
        <w:rPr>
          <w:rFonts w:asciiTheme="minorBidi" w:hAnsiTheme="minorBidi"/>
          <w:sz w:val="24"/>
          <w:szCs w:val="24"/>
          <w:rtl/>
        </w:rPr>
      </w:pPr>
      <w:r w:rsidRPr="00110337">
        <w:rPr>
          <w:rFonts w:asciiTheme="minorBidi" w:hAnsiTheme="minorBidi"/>
          <w:sz w:val="24"/>
          <w:szCs w:val="24"/>
        </w:rPr>
        <w:t>(More delayed)</w:t>
      </w:r>
      <w:r>
        <w:rPr>
          <w:rFonts w:asciiTheme="minorBidi" w:hAnsiTheme="minorBidi" w:hint="cs"/>
          <w:sz w:val="24"/>
          <w:szCs w:val="24"/>
          <w:rtl/>
        </w:rPr>
        <w:t xml:space="preserve"> ، و</w:t>
      </w:r>
      <w:r w:rsidRPr="00110337">
        <w:rPr>
          <w:rFonts w:asciiTheme="minorBidi" w:hAnsiTheme="minorBidi"/>
          <w:sz w:val="24"/>
          <w:szCs w:val="24"/>
          <w:rtl/>
        </w:rPr>
        <w:t>أدت استراتيجية البدء الأكثر تأخيرا</w:t>
      </w:r>
      <w:r>
        <w:rPr>
          <w:rFonts w:asciiTheme="minorBidi" w:hAnsiTheme="minorBidi" w:hint="cs"/>
          <w:sz w:val="24"/>
          <w:szCs w:val="24"/>
          <w:rtl/>
        </w:rPr>
        <w:t>ً</w:t>
      </w:r>
      <w:r w:rsidRPr="00110337">
        <w:rPr>
          <w:rFonts w:asciiTheme="minorBidi" w:hAnsiTheme="minorBidi"/>
          <w:sz w:val="24"/>
          <w:szCs w:val="24"/>
          <w:rtl/>
        </w:rPr>
        <w:t xml:space="preserve"> إلى اتجاه نحو زيادة معدل الوفيات، مع</w:t>
      </w:r>
      <w:r>
        <w:rPr>
          <w:rFonts w:asciiTheme="minorBidi" w:hAnsiTheme="minorBidi" w:hint="cs"/>
          <w:sz w:val="24"/>
          <w:szCs w:val="24"/>
          <w:rtl/>
        </w:rPr>
        <w:t xml:space="preserve"> </w:t>
      </w:r>
      <w:r w:rsidRPr="00110337">
        <w:rPr>
          <w:rFonts w:asciiTheme="minorBidi" w:hAnsiTheme="minorBidi"/>
          <w:sz w:val="24"/>
          <w:szCs w:val="24"/>
          <w:rtl/>
        </w:rPr>
        <w:t xml:space="preserve">زيادة نسبتها 11% في الوفيات خلال 60 يومًا، </w:t>
      </w:r>
      <w:r w:rsidRPr="00110337">
        <w:rPr>
          <w:rFonts w:asciiTheme="minorBidi" w:hAnsiTheme="minorBidi"/>
          <w:sz w:val="24"/>
          <w:szCs w:val="24"/>
        </w:rPr>
        <w:t>P = 0.07.</w:t>
      </w:r>
    </w:p>
    <w:p w14:paraId="22FFE0C1" w14:textId="77777777" w:rsidR="005C682A" w:rsidRPr="00110337" w:rsidRDefault="005C682A" w:rsidP="005C682A">
      <w:pPr>
        <w:bidi/>
        <w:spacing w:after="0"/>
        <w:rPr>
          <w:rFonts w:asciiTheme="minorBidi" w:hAnsiTheme="minorBidi"/>
          <w:sz w:val="24"/>
          <w:szCs w:val="24"/>
          <w:rtl/>
        </w:rPr>
      </w:pPr>
      <w:r w:rsidRPr="00110337">
        <w:rPr>
          <w:rFonts w:asciiTheme="minorBidi" w:hAnsiTheme="minorBidi"/>
          <w:sz w:val="24"/>
          <w:szCs w:val="24"/>
          <w:rtl/>
        </w:rPr>
        <w:t>وبالتالي، لا توجد فائدة واضحة من البدء المُسرَّع بالعلاج بالإحلال الكلوي، ولكن في المقابل تشير نتائج</w:t>
      </w:r>
      <w:r w:rsidRPr="00110337">
        <w:rPr>
          <w:rFonts w:asciiTheme="minorBidi" w:hAnsiTheme="minorBidi"/>
          <w:sz w:val="24"/>
          <w:szCs w:val="24"/>
        </w:rPr>
        <w:t xml:space="preserve"> AKIKI-2 </w:t>
      </w:r>
      <w:r w:rsidRPr="00110337">
        <w:rPr>
          <w:rFonts w:asciiTheme="minorBidi" w:hAnsiTheme="minorBidi"/>
          <w:sz w:val="24"/>
          <w:szCs w:val="24"/>
          <w:rtl/>
        </w:rPr>
        <w:t>إلى أن المرضى قد يتعرضون للضرر إذا تم تأخير العلاج بشكل مفرط يتجاوز استراتيجيات البدء القياسية</w:t>
      </w:r>
      <w:r w:rsidRPr="00110337">
        <w:rPr>
          <w:rFonts w:asciiTheme="minorBidi" w:hAnsiTheme="minorBidi"/>
          <w:sz w:val="24"/>
          <w:szCs w:val="24"/>
        </w:rPr>
        <w:t>.</w:t>
      </w:r>
    </w:p>
    <w:p w14:paraId="11B5AD47" w14:textId="77777777" w:rsidR="005C682A" w:rsidRDefault="005C682A" w:rsidP="005C682A">
      <w:pPr>
        <w:bidi/>
        <w:spacing w:after="100" w:line="283" w:lineRule="auto"/>
        <w:rPr>
          <w:color w:val="263746"/>
          <w:rtl/>
        </w:rPr>
      </w:pPr>
    </w:p>
    <w:p w14:paraId="34F849E1" w14:textId="442D1CC6" w:rsidR="00AC72DF" w:rsidRDefault="00000000" w:rsidP="005C682A">
      <w:pPr>
        <w:bidi/>
        <w:spacing w:after="100" w:line="283" w:lineRule="auto"/>
      </w:pPr>
      <w:r>
        <w:rPr>
          <w:color w:val="263746"/>
          <w:rtl/>
        </w:rPr>
        <w:t>تختلف معايير التجارب ولا تُستخدم كبديل عن تقييم المريض [3–5].</w:t>
      </w:r>
    </w:p>
    <w:p w14:paraId="343718FA" w14:textId="77777777" w:rsidR="00AC72DF" w:rsidRDefault="00000000" w:rsidP="00172DB9">
      <w:pPr>
        <w:pStyle w:val="berschrift1"/>
        <w:bidi/>
        <w:spacing w:after="100" w:line="283" w:lineRule="auto"/>
      </w:pPr>
      <w:r>
        <w:rPr>
          <w:rFonts w:ascii="Arial" w:hAnsi="Arial" w:cs="Arial"/>
          <w:rtl/>
        </w:rPr>
        <w:t>الاستطبابات وإعادة تقييم الأهداف</w:t>
      </w:r>
    </w:p>
    <w:p w14:paraId="208F52C7" w14:textId="59F7F360" w:rsidR="00E7037A" w:rsidRPr="00110337" w:rsidRDefault="00E7037A" w:rsidP="00E7037A">
      <w:pPr>
        <w:pStyle w:val="Aufzhlungszeichen"/>
        <w:numPr>
          <w:ilvl w:val="0"/>
          <w:numId w:val="0"/>
        </w:numPr>
        <w:bidi/>
        <w:ind w:left="360"/>
        <w:rPr>
          <w:rtl/>
        </w:rPr>
      </w:pPr>
      <w:r w:rsidRPr="00110337">
        <w:rPr>
          <w:rtl/>
        </w:rPr>
        <w:t>بالنسبة إلى معظم المرضى، ينبغي بدء</w:t>
      </w:r>
      <w:r w:rsidRPr="00110337">
        <w:t xml:space="preserve"> CKRT </w:t>
      </w:r>
      <w:r w:rsidRPr="00110337">
        <w:rPr>
          <w:rtl/>
        </w:rPr>
        <w:t>استجابةً إلى استطبابات سريرية واضحة وملموسة، وأكثرها شيوعًا</w:t>
      </w:r>
      <w:r w:rsidRPr="00110337">
        <w:t>:</w:t>
      </w:r>
    </w:p>
    <w:p w14:paraId="57C5CA8A" w14:textId="77777777" w:rsidR="00E7037A" w:rsidRPr="00E7037A" w:rsidRDefault="00E7037A" w:rsidP="00E7037A">
      <w:pPr>
        <w:pStyle w:val="Aufzhlungszeichen"/>
        <w:numPr>
          <w:ilvl w:val="0"/>
          <w:numId w:val="0"/>
        </w:numPr>
        <w:bidi/>
        <w:spacing w:after="60"/>
        <w:ind w:left="360"/>
      </w:pPr>
    </w:p>
    <w:p w14:paraId="05F9C795" w14:textId="11071538" w:rsidR="00AC72DF" w:rsidRDefault="00000000" w:rsidP="00E7037A">
      <w:pPr>
        <w:pStyle w:val="Aufzhlungszeichen"/>
        <w:bidi/>
        <w:spacing w:after="60"/>
      </w:pPr>
      <w:r>
        <w:rPr>
          <w:color w:val="263746"/>
          <w:rtl/>
        </w:rPr>
        <w:t>فرط حمل حجمي لا يمكن تدبيره بما يكفي بوسائل أخرى.</w:t>
      </w:r>
    </w:p>
    <w:p w14:paraId="5A6A52FA" w14:textId="3DA27876" w:rsidR="00AC72DF" w:rsidRDefault="00000000" w:rsidP="00172DB9">
      <w:pPr>
        <w:pStyle w:val="Aufzhlungszeichen"/>
        <w:bidi/>
        <w:spacing w:after="60"/>
      </w:pPr>
      <w:r>
        <w:rPr>
          <w:color w:val="263746"/>
          <w:rtl/>
        </w:rPr>
        <w:t>فرط بوتاسيوم أو اضطراب حمضي-قاعدي شديد</w:t>
      </w:r>
      <w:r w:rsidR="005C682A">
        <w:rPr>
          <w:rFonts w:hint="cs"/>
          <w:color w:val="263746"/>
          <w:rtl/>
        </w:rPr>
        <w:t xml:space="preserve"> </w:t>
      </w:r>
      <w:proofErr w:type="spellStart"/>
      <w:r w:rsidR="005C682A">
        <w:rPr>
          <w:color w:val="263746"/>
          <w:lang w:val="de-DE"/>
        </w:rPr>
        <w:t>acid</w:t>
      </w:r>
      <w:proofErr w:type="spellEnd"/>
      <w:r w:rsidR="005C682A">
        <w:rPr>
          <w:color w:val="263746"/>
          <w:lang w:val="de-DE"/>
        </w:rPr>
        <w:t xml:space="preserve">-base </w:t>
      </w:r>
      <w:proofErr w:type="spellStart"/>
      <w:r w:rsidR="005C682A">
        <w:rPr>
          <w:color w:val="263746"/>
          <w:lang w:val="de-DE"/>
        </w:rPr>
        <w:t>disorder</w:t>
      </w:r>
      <w:proofErr w:type="spellEnd"/>
      <w:r>
        <w:rPr>
          <w:color w:val="263746"/>
          <w:rtl/>
        </w:rPr>
        <w:t xml:space="preserve"> لا يستجيب للتدبير المناسب.</w:t>
      </w:r>
    </w:p>
    <w:p w14:paraId="3BFE3556" w14:textId="0F087E08" w:rsidR="00AC72DF" w:rsidRPr="005C682A" w:rsidRDefault="00000000" w:rsidP="00172DB9">
      <w:pPr>
        <w:pStyle w:val="Aufzhlungszeichen"/>
        <w:bidi/>
        <w:spacing w:after="60"/>
      </w:pPr>
      <w:r>
        <w:rPr>
          <w:color w:val="263746"/>
          <w:rtl/>
        </w:rPr>
        <w:t>مضاعفات يوريمية</w:t>
      </w:r>
      <w:r w:rsidR="005C682A">
        <w:rPr>
          <w:color w:val="263746"/>
        </w:rPr>
        <w:t xml:space="preserve">uremic </w:t>
      </w:r>
      <w:r>
        <w:rPr>
          <w:color w:val="263746"/>
          <w:rtl/>
        </w:rPr>
        <w:t xml:space="preserve"> أو استطبابات أخرى يحددها الفريق وفق حالة المريض.</w:t>
      </w:r>
    </w:p>
    <w:p w14:paraId="3F4D6DD3" w14:textId="77777777" w:rsidR="005C682A" w:rsidRDefault="005C682A" w:rsidP="005C682A">
      <w:pPr>
        <w:pStyle w:val="Aufzhlungszeichen"/>
        <w:numPr>
          <w:ilvl w:val="0"/>
          <w:numId w:val="0"/>
        </w:numPr>
        <w:bidi/>
        <w:spacing w:after="60"/>
        <w:ind w:left="360" w:hanging="360"/>
        <w:rPr>
          <w:color w:val="263746"/>
        </w:rPr>
      </w:pPr>
    </w:p>
    <w:p w14:paraId="4BB5E98B" w14:textId="77777777" w:rsidR="005C682A" w:rsidRPr="00110337" w:rsidRDefault="005C682A" w:rsidP="005C682A">
      <w:pPr>
        <w:bidi/>
        <w:spacing w:after="0"/>
        <w:rPr>
          <w:rFonts w:asciiTheme="minorBidi" w:hAnsiTheme="minorBidi"/>
          <w:sz w:val="24"/>
          <w:szCs w:val="24"/>
          <w:rtl/>
        </w:rPr>
      </w:pPr>
      <w:r w:rsidRPr="00110337">
        <w:rPr>
          <w:rFonts w:asciiTheme="minorBidi" w:hAnsiTheme="minorBidi"/>
          <w:sz w:val="24"/>
          <w:szCs w:val="24"/>
          <w:rtl/>
        </w:rPr>
        <w:t xml:space="preserve">أما لدى المرضى الذين يُعدّون </w:t>
      </w:r>
      <w:r w:rsidRPr="00253348">
        <w:rPr>
          <w:rFonts w:asciiTheme="minorBidi" w:hAnsiTheme="minorBidi"/>
          <w:sz w:val="24"/>
          <w:szCs w:val="24"/>
          <w:u w:val="single"/>
          <w:rtl/>
        </w:rPr>
        <w:t>مرشحين</w:t>
      </w:r>
      <w:r w:rsidRPr="00110337">
        <w:rPr>
          <w:rFonts w:asciiTheme="minorBidi" w:hAnsiTheme="minorBidi"/>
          <w:sz w:val="24"/>
          <w:szCs w:val="24"/>
          <w:rtl/>
        </w:rPr>
        <w:t xml:space="preserve"> مناسبين لتصعيد مستوى الرعاية، فمن المرجح أيضًا أن يكون بدء</w:t>
      </w:r>
      <w:r w:rsidRPr="00110337">
        <w:rPr>
          <w:rFonts w:asciiTheme="minorBidi" w:hAnsiTheme="minorBidi"/>
          <w:sz w:val="24"/>
          <w:szCs w:val="24"/>
        </w:rPr>
        <w:t xml:space="preserve"> CKRT </w:t>
      </w:r>
      <w:r w:rsidRPr="00110337">
        <w:rPr>
          <w:rFonts w:asciiTheme="minorBidi" w:hAnsiTheme="minorBidi"/>
          <w:sz w:val="24"/>
          <w:szCs w:val="24"/>
          <w:rtl/>
        </w:rPr>
        <w:t xml:space="preserve">خيارًا معقولًا عند استمرار </w:t>
      </w:r>
      <w:r w:rsidRPr="00253348">
        <w:rPr>
          <w:rFonts w:asciiTheme="minorBidi" w:hAnsiTheme="minorBidi"/>
          <w:sz w:val="24"/>
          <w:szCs w:val="24"/>
          <w:u w:val="single"/>
          <w:rtl/>
        </w:rPr>
        <w:t>قلة البول لمدة ≥48–72 ساعة</w:t>
      </w:r>
      <w:r w:rsidRPr="00110337">
        <w:rPr>
          <w:rFonts w:asciiTheme="minorBidi" w:hAnsiTheme="minorBidi"/>
          <w:sz w:val="24"/>
          <w:szCs w:val="24"/>
        </w:rPr>
        <w:t>.</w:t>
      </w:r>
    </w:p>
    <w:p w14:paraId="1CCD47F3" w14:textId="77777777" w:rsidR="005C682A" w:rsidRPr="00110337" w:rsidRDefault="005C682A" w:rsidP="005C682A">
      <w:pPr>
        <w:bidi/>
        <w:spacing w:after="0"/>
        <w:rPr>
          <w:rFonts w:asciiTheme="minorBidi" w:hAnsiTheme="minorBidi"/>
          <w:sz w:val="24"/>
          <w:szCs w:val="24"/>
          <w:rtl/>
        </w:rPr>
      </w:pPr>
      <w:r w:rsidRPr="00110337">
        <w:rPr>
          <w:rFonts w:asciiTheme="minorBidi" w:hAnsiTheme="minorBidi"/>
          <w:sz w:val="24"/>
          <w:szCs w:val="24"/>
          <w:rtl/>
        </w:rPr>
        <w:t>ومن الجدير بالذكر أن معدل الوفيات الإجمالي في هذه التجارب العشوائية، وكذلك في العديد من الدراسات الأخرى التي شملت مرضى بحالات حرجة لديهم</w:t>
      </w:r>
      <w:r w:rsidRPr="00110337">
        <w:rPr>
          <w:rFonts w:asciiTheme="minorBidi" w:hAnsiTheme="minorBidi"/>
          <w:sz w:val="24"/>
          <w:szCs w:val="24"/>
        </w:rPr>
        <w:t xml:space="preserve"> AKI </w:t>
      </w:r>
      <w:r w:rsidRPr="00110337">
        <w:rPr>
          <w:rFonts w:asciiTheme="minorBidi" w:hAnsiTheme="minorBidi"/>
          <w:sz w:val="24"/>
          <w:szCs w:val="24"/>
          <w:rtl/>
        </w:rPr>
        <w:t>ويحتاجون إلى العلاج بالإحلال الكلوي، يبلغ نحو</w:t>
      </w:r>
      <w:r>
        <w:rPr>
          <w:rFonts w:asciiTheme="minorBidi" w:hAnsiTheme="minorBidi" w:hint="cs"/>
          <w:sz w:val="24"/>
          <w:szCs w:val="24"/>
          <w:rtl/>
        </w:rPr>
        <w:t xml:space="preserve"> </w:t>
      </w:r>
      <w:r w:rsidRPr="00110337">
        <w:rPr>
          <w:rFonts w:asciiTheme="minorBidi" w:hAnsiTheme="minorBidi"/>
          <w:sz w:val="24"/>
          <w:szCs w:val="24"/>
        </w:rPr>
        <w:t>50%</w:t>
      </w:r>
    </w:p>
    <w:p w14:paraId="0A4DEF93" w14:textId="77777777" w:rsidR="005C682A" w:rsidRDefault="005C682A" w:rsidP="005C682A">
      <w:pPr>
        <w:bidi/>
        <w:spacing w:after="0"/>
        <w:rPr>
          <w:rFonts w:asciiTheme="minorBidi" w:hAnsiTheme="minorBidi"/>
          <w:sz w:val="24"/>
          <w:szCs w:val="24"/>
          <w:rtl/>
        </w:rPr>
      </w:pPr>
    </w:p>
    <w:p w14:paraId="6AEC9A04" w14:textId="77777777" w:rsidR="005C682A" w:rsidRPr="00110337" w:rsidRDefault="005C682A" w:rsidP="005C682A">
      <w:pPr>
        <w:bidi/>
        <w:spacing w:after="0"/>
        <w:rPr>
          <w:rFonts w:asciiTheme="minorBidi" w:hAnsiTheme="minorBidi"/>
          <w:sz w:val="24"/>
          <w:szCs w:val="24"/>
          <w:rtl/>
        </w:rPr>
      </w:pPr>
      <w:r w:rsidRPr="00110337">
        <w:rPr>
          <w:rFonts w:asciiTheme="minorBidi" w:hAnsiTheme="minorBidi"/>
          <w:sz w:val="24"/>
          <w:szCs w:val="24"/>
          <w:rtl/>
        </w:rPr>
        <w:t xml:space="preserve">وفي غياب استطباب للعلاج </w:t>
      </w:r>
      <w:r>
        <w:rPr>
          <w:rFonts w:asciiTheme="minorBidi" w:hAnsiTheme="minorBidi" w:hint="cs"/>
          <w:sz w:val="24"/>
          <w:szCs w:val="24"/>
          <w:rtl/>
        </w:rPr>
        <w:t>بالغسيل</w:t>
      </w:r>
      <w:r w:rsidRPr="00110337">
        <w:rPr>
          <w:rFonts w:asciiTheme="minorBidi" w:hAnsiTheme="minorBidi"/>
          <w:sz w:val="24"/>
          <w:szCs w:val="24"/>
          <w:rtl/>
        </w:rPr>
        <w:t xml:space="preserve"> الكلوي يهدد الحياة بشكل وشيك، ينبغي عادةً أن تكون مناقشة بدء</w:t>
      </w:r>
      <w:r w:rsidRPr="00110337">
        <w:rPr>
          <w:rFonts w:asciiTheme="minorBidi" w:hAnsiTheme="minorBidi"/>
          <w:sz w:val="24"/>
          <w:szCs w:val="24"/>
        </w:rPr>
        <w:t xml:space="preserve"> CKRT </w:t>
      </w:r>
      <w:r w:rsidRPr="00110337">
        <w:rPr>
          <w:rFonts w:asciiTheme="minorBidi" w:hAnsiTheme="minorBidi"/>
          <w:sz w:val="24"/>
          <w:szCs w:val="24"/>
          <w:rtl/>
        </w:rPr>
        <w:t>بمثابة دافع لكل من أطباء العناية المركزة وأطباء الكلى لإعادة تقييم الإنذار العام للمريض</w:t>
      </w:r>
      <w:r w:rsidRPr="00110337">
        <w:rPr>
          <w:rFonts w:asciiTheme="minorBidi" w:hAnsiTheme="minorBidi"/>
          <w:sz w:val="24"/>
          <w:szCs w:val="24"/>
        </w:rPr>
        <w:t>.</w:t>
      </w:r>
    </w:p>
    <w:p w14:paraId="11DD6D76" w14:textId="77777777" w:rsidR="005C682A" w:rsidRPr="00110337" w:rsidRDefault="005C682A" w:rsidP="005C682A">
      <w:pPr>
        <w:bidi/>
        <w:spacing w:after="0"/>
        <w:rPr>
          <w:rFonts w:asciiTheme="minorBidi" w:hAnsiTheme="minorBidi"/>
          <w:sz w:val="24"/>
          <w:szCs w:val="24"/>
          <w:rtl/>
        </w:rPr>
      </w:pPr>
      <w:r w:rsidRPr="00110337">
        <w:rPr>
          <w:rFonts w:asciiTheme="minorBidi" w:hAnsiTheme="minorBidi"/>
          <w:sz w:val="24"/>
          <w:szCs w:val="24"/>
          <w:rtl/>
        </w:rPr>
        <w:lastRenderedPageBreak/>
        <w:t>وبالنسبة إلى العديد من المرضى، قد يكون من المناسب إجراء مناقشة معهم أو مع ممثليهم حول أهداف الرعاية</w:t>
      </w:r>
      <w:r w:rsidRPr="00110337">
        <w:rPr>
          <w:rFonts w:asciiTheme="minorBidi" w:hAnsiTheme="minorBidi"/>
          <w:sz w:val="24"/>
          <w:szCs w:val="24"/>
        </w:rPr>
        <w:t xml:space="preserve"> (Goals of care)</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قبل الحصول على الموافقة لبدء</w:t>
      </w:r>
      <w:r w:rsidRPr="00110337">
        <w:rPr>
          <w:rFonts w:asciiTheme="minorBidi" w:hAnsiTheme="minorBidi"/>
          <w:sz w:val="24"/>
          <w:szCs w:val="24"/>
        </w:rPr>
        <w:t xml:space="preserve"> CKRT</w:t>
      </w:r>
    </w:p>
    <w:p w14:paraId="4582F320" w14:textId="77777777" w:rsidR="005C682A" w:rsidRDefault="005C682A" w:rsidP="005C682A">
      <w:pPr>
        <w:pStyle w:val="Aufzhlungszeichen"/>
        <w:numPr>
          <w:ilvl w:val="0"/>
          <w:numId w:val="0"/>
        </w:numPr>
        <w:bidi/>
        <w:spacing w:after="60"/>
        <w:ind w:left="360" w:hanging="360"/>
      </w:pPr>
    </w:p>
    <w:p w14:paraId="2250E907" w14:textId="67FD3EE4" w:rsidR="00AC72DF" w:rsidRDefault="00000000" w:rsidP="00172DB9">
      <w:pPr>
        <w:pStyle w:val="berschrift1"/>
        <w:bidi/>
        <w:spacing w:after="100" w:line="283" w:lineRule="auto"/>
        <w:rPr>
          <w:rFonts w:hint="cs"/>
        </w:rPr>
      </w:pPr>
      <w:r>
        <w:rPr>
          <w:rFonts w:ascii="Arial" w:hAnsi="Arial" w:cs="Arial"/>
          <w:rtl/>
        </w:rPr>
        <w:t>الإيقاف أو الانتقال إلى نمط آخر</w:t>
      </w:r>
      <w:r w:rsidR="00E7037A">
        <w:rPr>
          <w:rFonts w:ascii="Arial" w:hAnsi="Arial" w:cs="Arial" w:hint="cs"/>
          <w:rtl/>
        </w:rPr>
        <w:t xml:space="preserve">  </w:t>
      </w:r>
      <w:r w:rsidR="00E7037A" w:rsidRPr="00253348">
        <w:rPr>
          <w:rFonts w:asciiTheme="minorBidi" w:hAnsiTheme="minorBidi"/>
          <w:sz w:val="24"/>
          <w:szCs w:val="24"/>
        </w:rPr>
        <w:t>De-escalation and Discontinuation</w:t>
      </w:r>
    </w:p>
    <w:p w14:paraId="4DF3F359" w14:textId="77777777" w:rsidR="00E7037A" w:rsidRDefault="00E7037A" w:rsidP="00E7037A">
      <w:pPr>
        <w:bidi/>
        <w:spacing w:after="0"/>
        <w:rPr>
          <w:rFonts w:asciiTheme="minorBidi" w:hAnsiTheme="minorBidi"/>
          <w:sz w:val="24"/>
          <w:szCs w:val="24"/>
          <w:rtl/>
        </w:rPr>
      </w:pPr>
      <w:r w:rsidRPr="00110337">
        <w:rPr>
          <w:rFonts w:asciiTheme="minorBidi" w:hAnsiTheme="minorBidi"/>
          <w:sz w:val="24"/>
          <w:szCs w:val="24"/>
          <w:rtl/>
        </w:rPr>
        <w:t>على الرغم من أن هناك تجارب عشوائية مضبوطة جارية، فإنه لا توجد حاليًّا بيانات من تجارب سريرية يمكن الاستناد إليها لتوجيه خفض شدة</w:t>
      </w:r>
      <w:r w:rsidRPr="00110337">
        <w:rPr>
          <w:rFonts w:asciiTheme="minorBidi" w:hAnsiTheme="minorBidi"/>
          <w:sz w:val="24"/>
          <w:szCs w:val="24"/>
        </w:rPr>
        <w:t xml:space="preserve"> CKRT </w:t>
      </w:r>
      <w:r w:rsidRPr="00110337">
        <w:rPr>
          <w:rFonts w:asciiTheme="minorBidi" w:hAnsiTheme="minorBidi"/>
          <w:sz w:val="24"/>
          <w:szCs w:val="24"/>
          <w:rtl/>
        </w:rPr>
        <w:t>أو إيقافه</w:t>
      </w:r>
      <w:r w:rsidRPr="00110337">
        <w:rPr>
          <w:rFonts w:asciiTheme="minorBidi" w:hAnsiTheme="minorBidi"/>
          <w:sz w:val="24"/>
          <w:szCs w:val="24"/>
        </w:rPr>
        <w:t>.</w:t>
      </w:r>
    </w:p>
    <w:p w14:paraId="4A0F6700" w14:textId="21CF4B4A" w:rsidR="00E7037A" w:rsidRDefault="00E7037A" w:rsidP="00E7037A">
      <w:pPr>
        <w:bidi/>
        <w:spacing w:after="100" w:line="283" w:lineRule="auto"/>
        <w:rPr>
          <w:color w:val="263746"/>
          <w:rtl/>
        </w:rPr>
      </w:pPr>
      <w:r>
        <w:rPr>
          <w:color w:val="263746"/>
          <w:rtl/>
        </w:rPr>
        <w:t>تستند قرارات إيقاف CKRT أو الانتقال إلى علاج متقطع</w:t>
      </w:r>
      <w:r>
        <w:rPr>
          <w:rFonts w:hint="cs"/>
          <w:color w:val="263746"/>
          <w:rtl/>
        </w:rPr>
        <w:t xml:space="preserve"> بشكل عام</w:t>
      </w:r>
      <w:r>
        <w:rPr>
          <w:color w:val="263746"/>
          <w:rtl/>
        </w:rPr>
        <w:t xml:space="preserve"> إلى استعادة وظيفة الكلى، وإدرار البول، واستقرار الحالة الديناميكية الدموية، وقدرة المريض على تحمل نمط العلاج البديل</w:t>
      </w:r>
      <w:r>
        <w:rPr>
          <w:rFonts w:hint="cs"/>
          <w:color w:val="263746"/>
          <w:rtl/>
        </w:rPr>
        <w:t xml:space="preserve"> و</w:t>
      </w:r>
      <w:r>
        <w:rPr>
          <w:color w:val="263746"/>
          <w:rtl/>
        </w:rPr>
        <w:t xml:space="preserve"> تُستخدم المؤشرات ضمن التقييم السريري [1].</w:t>
      </w:r>
    </w:p>
    <w:p w14:paraId="39FD6B6F" w14:textId="77777777" w:rsidR="00E7037A" w:rsidRPr="00110337" w:rsidRDefault="00E7037A" w:rsidP="00E7037A">
      <w:pPr>
        <w:bidi/>
        <w:spacing w:after="0"/>
        <w:rPr>
          <w:rFonts w:asciiTheme="minorBidi" w:hAnsiTheme="minorBidi"/>
          <w:sz w:val="24"/>
          <w:szCs w:val="24"/>
          <w:rtl/>
        </w:rPr>
      </w:pPr>
    </w:p>
    <w:p w14:paraId="22CB7D2B" w14:textId="1DE30A76"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وتشير الدراسات الرصدية إلى أن المعايير التالية</w:t>
      </w:r>
      <w:r>
        <w:rPr>
          <w:rFonts w:asciiTheme="minorBidi" w:hAnsiTheme="minorBidi" w:hint="cs"/>
          <w:sz w:val="24"/>
          <w:szCs w:val="24"/>
          <w:rtl/>
        </w:rPr>
        <w:t xml:space="preserve"> ـ مع العلم أنه </w:t>
      </w:r>
      <w:r>
        <w:rPr>
          <w:color w:val="263746"/>
          <w:rtl/>
        </w:rPr>
        <w:t>لا يحدد رقم إدرار بول واحد قرار الإيقاف لجميع المرضى</w:t>
      </w:r>
      <w:r>
        <w:rPr>
          <w:rFonts w:hint="cs"/>
          <w:color w:val="263746"/>
          <w:rtl/>
        </w:rPr>
        <w:t xml:space="preserve"> ـ</w:t>
      </w:r>
      <w:r w:rsidRPr="00110337">
        <w:rPr>
          <w:rFonts w:asciiTheme="minorBidi" w:hAnsiTheme="minorBidi"/>
          <w:sz w:val="24"/>
          <w:szCs w:val="24"/>
          <w:rtl/>
        </w:rPr>
        <w:t xml:space="preserve"> قد تكون معقولة للنظر في إيقاف العلاج بالإحلال الكلوي لدى مرضى الأذية الكلوية الحادة</w:t>
      </w:r>
      <w:r w:rsidRPr="00110337">
        <w:rPr>
          <w:rFonts w:asciiTheme="minorBidi" w:hAnsiTheme="minorBidi"/>
          <w:sz w:val="24"/>
          <w:szCs w:val="24"/>
        </w:rPr>
        <w:t>:</w:t>
      </w:r>
    </w:p>
    <w:p w14:paraId="738D9A4F"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إدرار بول تلقائي &gt;500 مل/اليوم</w:t>
      </w:r>
    </w:p>
    <w:p w14:paraId="1A65B1AD"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أو</w:t>
      </w:r>
      <w:r w:rsidRPr="00110337">
        <w:rPr>
          <w:rFonts w:asciiTheme="minorBidi" w:hAnsiTheme="minorBidi"/>
          <w:sz w:val="24"/>
          <w:szCs w:val="24"/>
        </w:rPr>
        <w:t>:</w:t>
      </w:r>
    </w:p>
    <w:p w14:paraId="4A5DFFC1" w14:textId="77777777" w:rsidR="00E7037A"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إدرار بول معزَّز بالمدرات &gt;2 لتر/اليوم</w:t>
      </w:r>
      <w:r w:rsidRPr="00110337">
        <w:rPr>
          <w:rFonts w:asciiTheme="minorBidi" w:hAnsiTheme="minorBidi"/>
          <w:sz w:val="24"/>
          <w:szCs w:val="24"/>
        </w:rPr>
        <w:t>.</w:t>
      </w:r>
    </w:p>
    <w:p w14:paraId="3742D390" w14:textId="77777777" w:rsidR="00E7037A" w:rsidRPr="00110337" w:rsidRDefault="00E7037A" w:rsidP="00E7037A">
      <w:pPr>
        <w:bidi/>
        <w:spacing w:after="0"/>
        <w:rPr>
          <w:rFonts w:asciiTheme="minorBidi" w:hAnsiTheme="minorBidi"/>
          <w:sz w:val="24"/>
          <w:szCs w:val="24"/>
          <w:rtl/>
        </w:rPr>
      </w:pPr>
    </w:p>
    <w:p w14:paraId="13297B03"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كما أن استمرار الحاجة إلى الأدوية القابضة للأوعية، ووجود توازن سوائل تراكمي أكثر إيجابية، يرتبطان بحدوث انخفاض ضغط الدم أثناء جلسة غسيل الكلى لدى المرضى الذين ينتقلون من</w:t>
      </w:r>
      <w:r w:rsidRPr="00110337">
        <w:rPr>
          <w:rFonts w:asciiTheme="minorBidi" w:hAnsiTheme="minorBidi"/>
          <w:sz w:val="24"/>
          <w:szCs w:val="24"/>
        </w:rPr>
        <w:t xml:space="preserve"> CKRT </w:t>
      </w:r>
      <w:r w:rsidRPr="00110337">
        <w:rPr>
          <w:rFonts w:asciiTheme="minorBidi" w:hAnsiTheme="minorBidi"/>
          <w:sz w:val="24"/>
          <w:szCs w:val="24"/>
          <w:rtl/>
        </w:rPr>
        <w:t>إلى غسيل الكلى المتقطع</w:t>
      </w:r>
      <w:r w:rsidRPr="00110337">
        <w:rPr>
          <w:rFonts w:asciiTheme="minorBidi" w:hAnsiTheme="minorBidi"/>
          <w:sz w:val="24"/>
          <w:szCs w:val="24"/>
        </w:rPr>
        <w:t xml:space="preserve"> (IHD)</w:t>
      </w:r>
    </w:p>
    <w:p w14:paraId="3960EB25"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وبشكل عام، يُعدّ تحقيق استقرار ديناميكي دموي دون الحاجة إلى دعم بالأدوية القابضة للأوعية أحد المعايير الشائعة التي تدفع إلى التفكير في الانتقال من</w:t>
      </w:r>
      <w:r w:rsidRPr="00110337">
        <w:rPr>
          <w:rFonts w:asciiTheme="minorBidi" w:hAnsiTheme="minorBidi"/>
          <w:sz w:val="24"/>
          <w:szCs w:val="24"/>
        </w:rPr>
        <w:t xml:space="preserve"> CKRT </w:t>
      </w:r>
      <w:r w:rsidRPr="00110337">
        <w:rPr>
          <w:rFonts w:asciiTheme="minorBidi" w:hAnsiTheme="minorBidi"/>
          <w:sz w:val="24"/>
          <w:szCs w:val="24"/>
          <w:rtl/>
        </w:rPr>
        <w:t>إلى</w:t>
      </w:r>
      <w:r w:rsidRPr="00110337">
        <w:rPr>
          <w:rFonts w:asciiTheme="minorBidi" w:hAnsiTheme="minorBidi"/>
          <w:sz w:val="24"/>
          <w:szCs w:val="24"/>
        </w:rPr>
        <w:t xml:space="preserve"> IHD</w:t>
      </w:r>
      <w:r>
        <w:rPr>
          <w:rFonts w:asciiTheme="minorBidi" w:hAnsiTheme="minorBidi" w:hint="cs"/>
          <w:sz w:val="24"/>
          <w:szCs w:val="24"/>
          <w:rtl/>
        </w:rPr>
        <w:t>.</w:t>
      </w:r>
    </w:p>
    <w:p w14:paraId="5629C81A"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كما يقترح الخبراء ضرورة تصحيح فرط الحمل الحجمي قبل إيقاف</w:t>
      </w:r>
      <w:r w:rsidRPr="00110337">
        <w:rPr>
          <w:rFonts w:asciiTheme="minorBidi" w:hAnsiTheme="minorBidi"/>
          <w:sz w:val="24"/>
          <w:szCs w:val="24"/>
        </w:rPr>
        <w:t xml:space="preserve"> CKRT </w:t>
      </w:r>
      <w:r w:rsidRPr="00110337">
        <w:rPr>
          <w:rFonts w:asciiTheme="minorBidi" w:hAnsiTheme="minorBidi"/>
          <w:sz w:val="24"/>
          <w:szCs w:val="24"/>
          <w:rtl/>
        </w:rPr>
        <w:t>أو قبل الانتقال إلى نمط آخر من العلاج بالإحلال الكلوي</w:t>
      </w:r>
      <w:r w:rsidRPr="00110337">
        <w:rPr>
          <w:rFonts w:asciiTheme="minorBidi" w:hAnsiTheme="minorBidi"/>
          <w:sz w:val="24"/>
          <w:szCs w:val="24"/>
        </w:rPr>
        <w:t>.</w:t>
      </w:r>
    </w:p>
    <w:p w14:paraId="3F6983D9" w14:textId="77777777" w:rsidR="00E7037A" w:rsidRDefault="00E7037A" w:rsidP="00E7037A">
      <w:pPr>
        <w:bidi/>
        <w:spacing w:after="100" w:line="283" w:lineRule="auto"/>
      </w:pPr>
    </w:p>
    <w:p w14:paraId="02625117" w14:textId="77777777" w:rsidR="00AC72DF" w:rsidRDefault="00000000" w:rsidP="00172DB9">
      <w:pPr>
        <w:pStyle w:val="berschrift1"/>
        <w:bidi/>
        <w:spacing w:after="100" w:line="283" w:lineRule="auto"/>
      </w:pPr>
      <w:r>
        <w:rPr>
          <w:rFonts w:ascii="Arial" w:hAnsi="Arial" w:cs="Arial"/>
          <w:rtl/>
        </w:rPr>
        <w:t>جرعة CKRT</w:t>
      </w:r>
    </w:p>
    <w:p w14:paraId="17B7E702" w14:textId="77777777" w:rsidR="00E7037A" w:rsidRDefault="00000000" w:rsidP="00172DB9">
      <w:pPr>
        <w:bidi/>
        <w:spacing w:after="100" w:line="283" w:lineRule="auto"/>
        <w:rPr>
          <w:color w:val="263746"/>
          <w:rtl/>
        </w:rPr>
      </w:pPr>
      <w:r>
        <w:rPr>
          <w:color w:val="263746"/>
          <w:rtl/>
        </w:rPr>
        <w:t xml:space="preserve">توصي KDIGO بوصفة جرعة تتيح جرعة مُعطاة فعليًا من 20 إلى 25 مل/كغ/ساعة من حجم السائل الخارج للبالغين المصابين بـ AKI الذين يتلقون CKRT [1]. </w:t>
      </w:r>
    </w:p>
    <w:p w14:paraId="3422D676"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على خلاف غسيل الكلى المتقطع</w:t>
      </w:r>
      <w:r>
        <w:rPr>
          <w:rFonts w:asciiTheme="minorBidi" w:hAnsiTheme="minorBidi" w:hint="cs"/>
          <w:sz w:val="24"/>
          <w:szCs w:val="24"/>
          <w:rtl/>
        </w:rPr>
        <w:t xml:space="preserve"> </w:t>
      </w:r>
      <w:r w:rsidRPr="00110337">
        <w:rPr>
          <w:rFonts w:asciiTheme="minorBidi" w:hAnsiTheme="minorBidi"/>
          <w:sz w:val="24"/>
          <w:szCs w:val="24"/>
        </w:rPr>
        <w:t xml:space="preserve"> (IHD)</w:t>
      </w:r>
      <w:r w:rsidRPr="00110337">
        <w:rPr>
          <w:rFonts w:asciiTheme="minorBidi" w:hAnsiTheme="minorBidi"/>
          <w:sz w:val="24"/>
          <w:szCs w:val="24"/>
          <w:rtl/>
        </w:rPr>
        <w:t xml:space="preserve">، حيث يُستخدم قياس اليوريا قبل العلاج وبعده لحساب التصفية وكفاية الجرعة، يُستخدم في العلاج المستمر </w:t>
      </w:r>
      <w:r w:rsidRPr="00110337">
        <w:rPr>
          <w:rFonts w:asciiTheme="minorBidi" w:hAnsiTheme="minorBidi"/>
          <w:sz w:val="24"/>
          <w:szCs w:val="24"/>
        </w:rPr>
        <w:t>(CKRT)</w:t>
      </w:r>
      <w:r>
        <w:rPr>
          <w:rFonts w:asciiTheme="minorBidi" w:hAnsiTheme="minorBidi" w:hint="cs"/>
          <w:sz w:val="24"/>
          <w:szCs w:val="24"/>
          <w:rtl/>
        </w:rPr>
        <w:t xml:space="preserve"> </w:t>
      </w:r>
      <w:r w:rsidRPr="00110337">
        <w:rPr>
          <w:rFonts w:asciiTheme="minorBidi" w:hAnsiTheme="minorBidi"/>
          <w:sz w:val="24"/>
          <w:szCs w:val="24"/>
          <w:rtl/>
        </w:rPr>
        <w:t>معدل التدفق الكلي للسائل الخارج</w:t>
      </w:r>
      <w:r>
        <w:rPr>
          <w:rFonts w:asciiTheme="minorBidi" w:hAnsiTheme="minorBidi" w:hint="cs"/>
          <w:sz w:val="24"/>
          <w:szCs w:val="24"/>
          <w:rtl/>
        </w:rPr>
        <w:t xml:space="preserve"> </w:t>
      </w:r>
      <w:r w:rsidRPr="00110337">
        <w:rPr>
          <w:rFonts w:asciiTheme="minorBidi" w:hAnsiTheme="minorBidi"/>
          <w:sz w:val="24"/>
          <w:szCs w:val="24"/>
        </w:rPr>
        <w:t xml:space="preserve"> (Total Effluent Flow Rate, </w:t>
      </w:r>
      <w:proofErr w:type="spellStart"/>
      <w:r w:rsidRPr="00110337">
        <w:rPr>
          <w:rFonts w:asciiTheme="minorBidi" w:hAnsiTheme="minorBidi"/>
          <w:sz w:val="24"/>
          <w:szCs w:val="24"/>
        </w:rPr>
        <w:t>Qef</w:t>
      </w:r>
      <w:proofErr w:type="spellEnd"/>
      <w:r w:rsidRPr="00110337">
        <w:rPr>
          <w:rFonts w:asciiTheme="minorBidi" w:hAnsiTheme="minorBidi"/>
          <w:sz w:val="24"/>
          <w:szCs w:val="24"/>
        </w:rPr>
        <w:t>)</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بوصفه مؤشرًا بديلًا عن التصفية</w:t>
      </w:r>
      <w:r w:rsidRPr="00110337">
        <w:rPr>
          <w:rFonts w:asciiTheme="minorBidi" w:hAnsiTheme="minorBidi"/>
          <w:sz w:val="24"/>
          <w:szCs w:val="24"/>
        </w:rPr>
        <w:t>.</w:t>
      </w:r>
    </w:p>
    <w:p w14:paraId="378A4715"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ويمثل</w:t>
      </w:r>
      <w:r w:rsidRPr="00110337">
        <w:rPr>
          <w:rFonts w:asciiTheme="minorBidi" w:hAnsiTheme="minorBidi"/>
          <w:sz w:val="24"/>
          <w:szCs w:val="24"/>
        </w:rPr>
        <w:t xml:space="preserve"> </w:t>
      </w:r>
      <w:proofErr w:type="spellStart"/>
      <w:r w:rsidRPr="00110337">
        <w:rPr>
          <w:rFonts w:asciiTheme="minorBidi" w:hAnsiTheme="minorBidi"/>
          <w:sz w:val="24"/>
          <w:szCs w:val="24"/>
        </w:rPr>
        <w:t>Qef</w:t>
      </w:r>
      <w:proofErr w:type="spellEnd"/>
      <w:r w:rsidRPr="00110337">
        <w:rPr>
          <w:rFonts w:asciiTheme="minorBidi" w:hAnsiTheme="minorBidi"/>
          <w:sz w:val="24"/>
          <w:szCs w:val="24"/>
        </w:rPr>
        <w:t xml:space="preserve"> </w:t>
      </w:r>
      <w:r w:rsidRPr="00110337">
        <w:rPr>
          <w:rFonts w:asciiTheme="minorBidi" w:hAnsiTheme="minorBidi"/>
          <w:sz w:val="24"/>
          <w:szCs w:val="24"/>
          <w:rtl/>
        </w:rPr>
        <w:t>التصفية الإجمالية الناتجة عن</w:t>
      </w:r>
      <w:r w:rsidRPr="00110337">
        <w:rPr>
          <w:rFonts w:asciiTheme="minorBidi" w:hAnsiTheme="minorBidi"/>
          <w:sz w:val="24"/>
          <w:szCs w:val="24"/>
        </w:rPr>
        <w:t>:</w:t>
      </w:r>
    </w:p>
    <w:p w14:paraId="4ED5BEC7"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الانتشار</w:t>
      </w:r>
      <w:r w:rsidRPr="00110337">
        <w:rPr>
          <w:rFonts w:asciiTheme="minorBidi" w:hAnsiTheme="minorBidi"/>
          <w:sz w:val="24"/>
          <w:szCs w:val="24"/>
        </w:rPr>
        <w:t xml:space="preserve"> (Diffusion)</w:t>
      </w:r>
    </w:p>
    <w:p w14:paraId="7904C370"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الحمل</w:t>
      </w:r>
      <w:r w:rsidRPr="00110337">
        <w:rPr>
          <w:rFonts w:asciiTheme="minorBidi" w:hAnsiTheme="minorBidi"/>
          <w:sz w:val="24"/>
          <w:szCs w:val="24"/>
        </w:rPr>
        <w:t xml:space="preserve"> (Convection)</w:t>
      </w:r>
    </w:p>
    <w:p w14:paraId="46CA9626"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والترشيح الفائق الصافي</w:t>
      </w:r>
      <w:r w:rsidRPr="00110337">
        <w:rPr>
          <w:rFonts w:asciiTheme="minorBidi" w:hAnsiTheme="minorBidi"/>
          <w:sz w:val="24"/>
          <w:szCs w:val="24"/>
        </w:rPr>
        <w:t xml:space="preserve"> (Net Ultrafiltration)</w:t>
      </w:r>
    </w:p>
    <w:p w14:paraId="64EF1063" w14:textId="77777777" w:rsidR="00E7037A" w:rsidRPr="00110337" w:rsidRDefault="00E7037A" w:rsidP="00E7037A">
      <w:pPr>
        <w:bidi/>
        <w:spacing w:after="0"/>
        <w:rPr>
          <w:rFonts w:asciiTheme="minorBidi" w:hAnsiTheme="minorBidi"/>
          <w:sz w:val="24"/>
          <w:szCs w:val="24"/>
          <w:rtl/>
        </w:rPr>
      </w:pPr>
    </w:p>
    <w:p w14:paraId="3F7E2A96" w14:textId="670761BD"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وعلى الرغم من أن بعض التجارب المبكرة أشارت إلى فائدة محتملة للجرعات الأعلى، فإن تجربتين عشوائيتين كبيرتين لاحقتين، هما</w:t>
      </w:r>
      <w:r>
        <w:rPr>
          <w:rFonts w:asciiTheme="minorBidi" w:hAnsiTheme="minorBidi" w:hint="cs"/>
          <w:sz w:val="24"/>
          <w:szCs w:val="24"/>
          <w:rtl/>
        </w:rPr>
        <w:t xml:space="preserve"> </w:t>
      </w:r>
      <w:r w:rsidRPr="00E7037A">
        <w:rPr>
          <w:rFonts w:asciiTheme="minorBidi" w:hAnsiTheme="minorBidi"/>
          <w:sz w:val="24"/>
          <w:szCs w:val="24"/>
          <w:u w:val="single"/>
          <w:lang w:val="en-GB"/>
        </w:rPr>
        <w:t>VA/NIH ATN trial</w:t>
      </w:r>
      <w:r w:rsidRPr="00E7037A">
        <w:rPr>
          <w:rFonts w:asciiTheme="minorBidi" w:hAnsiTheme="minorBidi" w:hint="cs"/>
          <w:sz w:val="24"/>
          <w:szCs w:val="24"/>
          <w:u w:val="single"/>
          <w:rtl/>
          <w:lang w:val="en-GB"/>
        </w:rPr>
        <w:t xml:space="preserve">  </w:t>
      </w:r>
      <w:r>
        <w:rPr>
          <w:rFonts w:asciiTheme="minorBidi" w:hAnsiTheme="minorBidi" w:hint="cs"/>
          <w:sz w:val="24"/>
          <w:szCs w:val="24"/>
          <w:rtl/>
          <w:lang w:val="en-GB"/>
        </w:rPr>
        <w:t xml:space="preserve">و </w:t>
      </w:r>
      <w:r w:rsidRPr="00E7037A">
        <w:rPr>
          <w:rFonts w:asciiTheme="minorBidi" w:hAnsiTheme="minorBidi"/>
          <w:sz w:val="24"/>
          <w:szCs w:val="24"/>
          <w:u w:val="single"/>
          <w:lang w:val="en-GB"/>
        </w:rPr>
        <w:t>RENAL trial</w:t>
      </w:r>
      <w:r w:rsidRPr="00E7037A">
        <w:rPr>
          <w:rFonts w:asciiTheme="minorBidi" w:hAnsiTheme="minorBidi" w:hint="cs"/>
          <w:sz w:val="24"/>
          <w:szCs w:val="24"/>
          <w:u w:val="single"/>
          <w:rtl/>
          <w:lang w:val="en-GB"/>
        </w:rPr>
        <w:t xml:space="preserve"> </w:t>
      </w:r>
      <w:r w:rsidRPr="00110337">
        <w:rPr>
          <w:rFonts w:asciiTheme="minorBidi" w:hAnsiTheme="minorBidi"/>
          <w:sz w:val="24"/>
          <w:szCs w:val="24"/>
          <w:rtl/>
        </w:rPr>
        <w:t>أظهرتا أن الجرعات الأعلى من</w:t>
      </w:r>
      <w:r w:rsidRPr="00110337">
        <w:rPr>
          <w:rFonts w:asciiTheme="minorBidi" w:hAnsiTheme="minorBidi"/>
          <w:sz w:val="24"/>
          <w:szCs w:val="24"/>
        </w:rPr>
        <w:t xml:space="preserve"> CKRT</w:t>
      </w:r>
      <w:r>
        <w:rPr>
          <w:rFonts w:asciiTheme="minorBidi" w:hAnsiTheme="minorBidi" w:hint="cs"/>
          <w:sz w:val="24"/>
          <w:szCs w:val="24"/>
          <w:rtl/>
        </w:rPr>
        <w:t xml:space="preserve"> </w:t>
      </w:r>
      <w:r w:rsidRPr="00110337">
        <w:rPr>
          <w:rFonts w:asciiTheme="minorBidi" w:hAnsiTheme="minorBidi"/>
          <w:sz w:val="24"/>
          <w:szCs w:val="24"/>
          <w:rtl/>
        </w:rPr>
        <w:t>أي</w:t>
      </w:r>
      <w:r>
        <w:rPr>
          <w:rFonts w:asciiTheme="minorBidi" w:hAnsiTheme="minorBidi" w:hint="cs"/>
          <w:sz w:val="24"/>
          <w:szCs w:val="24"/>
          <w:rtl/>
        </w:rPr>
        <w:t xml:space="preserve"> </w:t>
      </w:r>
      <w:r w:rsidRPr="00110337">
        <w:rPr>
          <w:rFonts w:asciiTheme="minorBidi" w:hAnsiTheme="minorBidi"/>
          <w:sz w:val="24"/>
          <w:szCs w:val="24"/>
        </w:rPr>
        <w:t>35–40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مل/كغ/ساعة</w:t>
      </w:r>
      <w:r>
        <w:rPr>
          <w:rFonts w:asciiTheme="minorBidi" w:hAnsiTheme="minorBidi" w:hint="cs"/>
          <w:sz w:val="24"/>
          <w:szCs w:val="24"/>
          <w:rtl/>
        </w:rPr>
        <w:t xml:space="preserve"> </w:t>
      </w:r>
      <w:r w:rsidRPr="00110337">
        <w:rPr>
          <w:rFonts w:asciiTheme="minorBidi" w:hAnsiTheme="minorBidi"/>
          <w:sz w:val="24"/>
          <w:szCs w:val="24"/>
          <w:rtl/>
        </w:rPr>
        <w:t>لم تحقق أي فائدة مقارنةً بالجرعات الأقل</w:t>
      </w:r>
      <w:r>
        <w:rPr>
          <w:rFonts w:asciiTheme="minorBidi" w:hAnsiTheme="minorBidi" w:hint="cs"/>
          <w:sz w:val="24"/>
          <w:szCs w:val="24"/>
          <w:rtl/>
        </w:rPr>
        <w:t xml:space="preserve"> </w:t>
      </w:r>
      <w:r w:rsidRPr="00110337">
        <w:rPr>
          <w:rFonts w:asciiTheme="minorBidi" w:hAnsiTheme="minorBidi"/>
          <w:sz w:val="24"/>
          <w:szCs w:val="24"/>
        </w:rPr>
        <w:t>20–25</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مل/كغ/ساعة</w:t>
      </w:r>
    </w:p>
    <w:p w14:paraId="66348612"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بل ارتبطت الجرعات الأعلى بمعدلات أعلى قليلًا لبعض المضاعفات، بما في ذلك</w:t>
      </w:r>
      <w:r w:rsidRPr="00110337">
        <w:rPr>
          <w:rFonts w:asciiTheme="minorBidi" w:hAnsiTheme="minorBidi"/>
          <w:sz w:val="24"/>
          <w:szCs w:val="24"/>
        </w:rPr>
        <w:t>:</w:t>
      </w:r>
    </w:p>
    <w:p w14:paraId="0808489E"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نقص فوسفات الدم</w:t>
      </w:r>
      <w:r w:rsidRPr="00110337">
        <w:rPr>
          <w:rFonts w:asciiTheme="minorBidi" w:hAnsiTheme="minorBidi"/>
          <w:sz w:val="24"/>
          <w:szCs w:val="24"/>
        </w:rPr>
        <w:t>.</w:t>
      </w:r>
    </w:p>
    <w:p w14:paraId="40D69457"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انخفاض ضغط الدم</w:t>
      </w:r>
      <w:r w:rsidRPr="00110337">
        <w:rPr>
          <w:rFonts w:asciiTheme="minorBidi" w:hAnsiTheme="minorBidi"/>
          <w:sz w:val="24"/>
          <w:szCs w:val="24"/>
        </w:rPr>
        <w:t>.</w:t>
      </w:r>
    </w:p>
    <w:p w14:paraId="03059744" w14:textId="77777777" w:rsidR="00E7037A" w:rsidRDefault="00E7037A" w:rsidP="00E7037A">
      <w:pPr>
        <w:pStyle w:val="Listenabsatz"/>
        <w:bidi/>
        <w:spacing w:after="0"/>
        <w:ind w:left="360"/>
        <w:rPr>
          <w:rFonts w:asciiTheme="minorBidi" w:hAnsiTheme="minorBidi"/>
          <w:b/>
          <w:bCs/>
          <w:sz w:val="24"/>
          <w:szCs w:val="24"/>
        </w:rPr>
      </w:pPr>
    </w:p>
    <w:p w14:paraId="0888AE06" w14:textId="77777777" w:rsidR="00E7037A" w:rsidRDefault="00E7037A" w:rsidP="00E7037A">
      <w:pPr>
        <w:pStyle w:val="Listenabsatz"/>
        <w:numPr>
          <w:ilvl w:val="0"/>
          <w:numId w:val="10"/>
        </w:numPr>
        <w:bidi/>
        <w:spacing w:after="0" w:line="259" w:lineRule="auto"/>
        <w:rPr>
          <w:rFonts w:asciiTheme="minorBidi" w:hAnsiTheme="minorBidi"/>
          <w:b/>
          <w:bCs/>
          <w:sz w:val="24"/>
          <w:szCs w:val="24"/>
        </w:rPr>
      </w:pPr>
      <w:r w:rsidRPr="001F3060">
        <w:rPr>
          <w:rFonts w:asciiTheme="minorBidi" w:hAnsiTheme="minorBidi"/>
          <w:b/>
          <w:bCs/>
          <w:sz w:val="24"/>
          <w:szCs w:val="24"/>
          <w:rtl/>
        </w:rPr>
        <w:lastRenderedPageBreak/>
        <w:t>وبناءً على هاتين التجربتين، أصبح معيار الرعاية هو استهداف جرعة</w:t>
      </w:r>
      <w:r w:rsidRPr="001F3060">
        <w:rPr>
          <w:rFonts w:asciiTheme="minorBidi" w:hAnsiTheme="minorBidi"/>
          <w:b/>
          <w:bCs/>
          <w:sz w:val="24"/>
          <w:szCs w:val="24"/>
        </w:rPr>
        <w:t xml:space="preserve"> CKRT </w:t>
      </w:r>
      <w:r w:rsidRPr="001F3060">
        <w:rPr>
          <w:rFonts w:asciiTheme="minorBidi" w:hAnsiTheme="minorBidi"/>
          <w:b/>
          <w:bCs/>
          <w:sz w:val="24"/>
          <w:szCs w:val="24"/>
          <w:rtl/>
        </w:rPr>
        <w:t>مُعطاة فعليًّا</w:t>
      </w:r>
    </w:p>
    <w:p w14:paraId="7E88D6FF" w14:textId="77777777" w:rsidR="00E7037A" w:rsidRPr="001F3060" w:rsidRDefault="00E7037A" w:rsidP="00E7037A">
      <w:pPr>
        <w:bidi/>
        <w:spacing w:after="0"/>
        <w:rPr>
          <w:rFonts w:asciiTheme="minorBidi" w:hAnsiTheme="minorBidi"/>
          <w:b/>
          <w:bCs/>
          <w:sz w:val="24"/>
          <w:szCs w:val="24"/>
          <w:rtl/>
        </w:rPr>
      </w:pPr>
      <w:r w:rsidRPr="001F3060">
        <w:rPr>
          <w:rFonts w:asciiTheme="minorBidi" w:hAnsiTheme="minorBidi"/>
          <w:b/>
          <w:bCs/>
          <w:sz w:val="24"/>
          <w:szCs w:val="24"/>
        </w:rPr>
        <w:t xml:space="preserve"> (Delivered dose) </w:t>
      </w:r>
      <w:r w:rsidRPr="001F3060">
        <w:rPr>
          <w:rFonts w:asciiTheme="minorBidi" w:hAnsiTheme="minorBidi"/>
          <w:b/>
          <w:bCs/>
          <w:sz w:val="24"/>
          <w:szCs w:val="24"/>
          <w:rtl/>
        </w:rPr>
        <w:t>مقدارها</w:t>
      </w:r>
      <w:r w:rsidRPr="001F3060">
        <w:rPr>
          <w:rFonts w:asciiTheme="minorBidi" w:hAnsiTheme="minorBidi" w:hint="cs"/>
          <w:b/>
          <w:bCs/>
          <w:sz w:val="24"/>
          <w:szCs w:val="24"/>
          <w:rtl/>
        </w:rPr>
        <w:t xml:space="preserve"> </w:t>
      </w:r>
      <w:r w:rsidRPr="001F3060">
        <w:rPr>
          <w:rFonts w:asciiTheme="minorBidi" w:hAnsiTheme="minorBidi"/>
          <w:b/>
          <w:bCs/>
          <w:sz w:val="24"/>
          <w:szCs w:val="24"/>
        </w:rPr>
        <w:t>20–25</w:t>
      </w:r>
      <w:r w:rsidRPr="001F3060">
        <w:rPr>
          <w:rFonts w:asciiTheme="minorBidi" w:hAnsiTheme="minorBidi" w:hint="cs"/>
          <w:b/>
          <w:bCs/>
          <w:sz w:val="24"/>
          <w:szCs w:val="24"/>
          <w:rtl/>
        </w:rPr>
        <w:t xml:space="preserve"> </w:t>
      </w:r>
      <w:r w:rsidRPr="001F3060">
        <w:rPr>
          <w:rFonts w:asciiTheme="minorBidi" w:hAnsiTheme="minorBidi"/>
          <w:b/>
          <w:bCs/>
          <w:sz w:val="24"/>
          <w:szCs w:val="24"/>
        </w:rPr>
        <w:t xml:space="preserve"> </w:t>
      </w:r>
      <w:r w:rsidRPr="001F3060">
        <w:rPr>
          <w:rFonts w:asciiTheme="minorBidi" w:hAnsiTheme="minorBidi"/>
          <w:b/>
          <w:bCs/>
          <w:sz w:val="24"/>
          <w:szCs w:val="24"/>
          <w:rtl/>
        </w:rPr>
        <w:t>مل/كغ/ساعة</w:t>
      </w:r>
      <w:r w:rsidRPr="001F3060">
        <w:rPr>
          <w:rFonts w:asciiTheme="minorBidi" w:hAnsiTheme="minorBidi"/>
          <w:b/>
          <w:bCs/>
          <w:sz w:val="24"/>
          <w:szCs w:val="24"/>
        </w:rPr>
        <w:t>.</w:t>
      </w:r>
    </w:p>
    <w:p w14:paraId="62ACFC05" w14:textId="77777777" w:rsidR="00E7037A" w:rsidRDefault="00E7037A" w:rsidP="00E7037A">
      <w:pPr>
        <w:bidi/>
        <w:spacing w:after="0"/>
        <w:rPr>
          <w:rFonts w:asciiTheme="minorBidi" w:hAnsiTheme="minorBidi"/>
          <w:sz w:val="24"/>
          <w:szCs w:val="24"/>
          <w:rtl/>
        </w:rPr>
      </w:pPr>
    </w:p>
    <w:p w14:paraId="214D456D"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إنّ</w:t>
      </w:r>
      <w:r w:rsidRPr="00110337">
        <w:rPr>
          <w:rFonts w:asciiTheme="minorBidi" w:hAnsiTheme="minorBidi"/>
          <w:sz w:val="24"/>
          <w:szCs w:val="24"/>
          <w:rtl/>
        </w:rPr>
        <w:t xml:space="preserve"> هذه الجرعة القياسية من</w:t>
      </w:r>
      <w:r w:rsidRPr="00110337">
        <w:rPr>
          <w:rFonts w:asciiTheme="minorBidi" w:hAnsiTheme="minorBidi"/>
          <w:sz w:val="24"/>
          <w:szCs w:val="24"/>
        </w:rPr>
        <w:t xml:space="preserve"> CKRT </w:t>
      </w:r>
      <w:r w:rsidRPr="00110337">
        <w:rPr>
          <w:rFonts w:asciiTheme="minorBidi" w:hAnsiTheme="minorBidi"/>
          <w:sz w:val="24"/>
          <w:szCs w:val="24"/>
          <w:rtl/>
        </w:rPr>
        <w:t>توفر تصفية لحظية أبطأ بكثير من</w:t>
      </w:r>
      <w:r w:rsidRPr="00110337">
        <w:rPr>
          <w:rFonts w:asciiTheme="minorBidi" w:hAnsiTheme="minorBidi"/>
          <w:sz w:val="24"/>
          <w:szCs w:val="24"/>
        </w:rPr>
        <w:t xml:space="preserve"> IHD</w:t>
      </w:r>
      <w:r w:rsidRPr="00110337">
        <w:rPr>
          <w:rFonts w:asciiTheme="minorBidi" w:hAnsiTheme="minorBidi"/>
          <w:sz w:val="24"/>
          <w:szCs w:val="24"/>
          <w:rtl/>
        </w:rPr>
        <w:t>، لكنها تعطي جرعة كلية يومية أو أسبوعية أعلى من إزالة المذابات مقارنةً بـ</w:t>
      </w:r>
      <w:r w:rsidRPr="00110337">
        <w:rPr>
          <w:rFonts w:asciiTheme="minorBidi" w:hAnsiTheme="minorBidi"/>
          <w:sz w:val="24"/>
          <w:szCs w:val="24"/>
        </w:rPr>
        <w:t xml:space="preserve"> IHD </w:t>
      </w:r>
      <w:r w:rsidRPr="00110337">
        <w:rPr>
          <w:rFonts w:asciiTheme="minorBidi" w:hAnsiTheme="minorBidi"/>
          <w:sz w:val="24"/>
          <w:szCs w:val="24"/>
          <w:rtl/>
        </w:rPr>
        <w:t>ثلاث مرات أسبوعيًّا، بل وحتى مقارنةً بـ</w:t>
      </w:r>
      <w:r w:rsidRPr="00110337">
        <w:rPr>
          <w:rFonts w:asciiTheme="minorBidi" w:hAnsiTheme="minorBidi"/>
          <w:sz w:val="24"/>
          <w:szCs w:val="24"/>
        </w:rPr>
        <w:t xml:space="preserve"> IHD </w:t>
      </w:r>
      <w:r w:rsidRPr="00110337">
        <w:rPr>
          <w:rFonts w:asciiTheme="minorBidi" w:hAnsiTheme="minorBidi"/>
          <w:sz w:val="24"/>
          <w:szCs w:val="24"/>
          <w:rtl/>
        </w:rPr>
        <w:t>اليومي</w:t>
      </w:r>
      <w:r w:rsidRPr="00110337">
        <w:rPr>
          <w:rFonts w:asciiTheme="minorBidi" w:hAnsiTheme="minorBidi"/>
          <w:sz w:val="24"/>
          <w:szCs w:val="24"/>
        </w:rPr>
        <w:t>.</w:t>
      </w:r>
    </w:p>
    <w:p w14:paraId="4E274C99" w14:textId="77777777" w:rsidR="00E7037A" w:rsidRDefault="00E7037A" w:rsidP="00172DB9">
      <w:pPr>
        <w:bidi/>
        <w:spacing w:after="100" w:line="283" w:lineRule="auto"/>
        <w:rPr>
          <w:color w:val="263746"/>
          <w:rtl/>
        </w:rPr>
      </w:pPr>
    </w:p>
    <w:p w14:paraId="3941CA28" w14:textId="213D77BD" w:rsidR="00AC72DF" w:rsidRDefault="00000000" w:rsidP="00E7037A">
      <w:pPr>
        <w:bidi/>
        <w:spacing w:after="100" w:line="283" w:lineRule="auto"/>
        <w:rPr>
          <w:color w:val="263746"/>
          <w:rtl/>
        </w:rPr>
      </w:pPr>
      <w:r>
        <w:rPr>
          <w:color w:val="263746"/>
          <w:rtl/>
        </w:rPr>
        <w:t>قد تقل الجرعة المحققة عن الموصوفة عند توقف العلاج أو بسبب تخثر الفلتر أو الإجراءات خارج الوحدة. لذلك يُراجع سجل ساعات العلاج الفعلية ومعدل السائل الخارج المحقق. ويُراعى عند حساب Qef أن تكون عناصر الوصفة وUFnet معرفة بالطريقة نفسها على الجهاز [1].</w:t>
      </w:r>
    </w:p>
    <w:p w14:paraId="02ECFA4D" w14:textId="77777777" w:rsidR="00E7037A" w:rsidRDefault="00E7037A" w:rsidP="00E7037A">
      <w:pPr>
        <w:bidi/>
        <w:spacing w:after="100" w:line="283" w:lineRule="auto"/>
      </w:pPr>
    </w:p>
    <w:tbl>
      <w:tblPr>
        <w:tblStyle w:val="Tabellenraster"/>
        <w:bidiVisual/>
        <w:tblW w:w="0" w:type="auto"/>
        <w:jc w:val="right"/>
        <w:tblLook w:val="04A0" w:firstRow="1" w:lastRow="0" w:firstColumn="1" w:lastColumn="0" w:noHBand="0" w:noVBand="1"/>
      </w:tblPr>
      <w:tblGrid>
        <w:gridCol w:w="5040"/>
        <w:gridCol w:w="5040"/>
      </w:tblGrid>
      <w:tr w:rsidR="00AC72DF" w14:paraId="6AB9AD2B" w14:textId="77777777">
        <w:trPr>
          <w:jc w:val="right"/>
        </w:trPr>
        <w:tc>
          <w:tcPr>
            <w:tcW w:w="5040" w:type="dxa"/>
            <w:shd w:val="clear" w:color="auto" w:fill="17324D"/>
            <w:vAlign w:val="center"/>
          </w:tcPr>
          <w:p w14:paraId="2BF540BE" w14:textId="77777777" w:rsidR="00AC72DF" w:rsidRDefault="00000000" w:rsidP="00172DB9">
            <w:pPr>
              <w:bidi/>
            </w:pPr>
            <w:r>
              <w:rPr>
                <w:b/>
                <w:color w:val="FFFFFF"/>
                <w:sz w:val="20"/>
                <w:rtl/>
              </w:rPr>
              <w:t>البند</w:t>
            </w:r>
          </w:p>
        </w:tc>
        <w:tc>
          <w:tcPr>
            <w:tcW w:w="5040" w:type="dxa"/>
            <w:shd w:val="clear" w:color="auto" w:fill="17324D"/>
            <w:vAlign w:val="center"/>
          </w:tcPr>
          <w:p w14:paraId="7AC17530" w14:textId="77777777" w:rsidR="00AC72DF" w:rsidRDefault="00000000" w:rsidP="00172DB9">
            <w:pPr>
              <w:bidi/>
            </w:pPr>
            <w:r>
              <w:rPr>
                <w:b/>
                <w:color w:val="FFFFFF"/>
                <w:sz w:val="20"/>
                <w:rtl/>
              </w:rPr>
              <w:t>المعنى</w:t>
            </w:r>
          </w:p>
        </w:tc>
      </w:tr>
      <w:tr w:rsidR="00AC72DF" w14:paraId="5853CDEE" w14:textId="77777777">
        <w:trPr>
          <w:jc w:val="right"/>
        </w:trPr>
        <w:tc>
          <w:tcPr>
            <w:tcW w:w="5040" w:type="dxa"/>
            <w:shd w:val="clear" w:color="auto" w:fill="F2F6FA"/>
            <w:vAlign w:val="center"/>
          </w:tcPr>
          <w:p w14:paraId="703538D7" w14:textId="77777777" w:rsidR="00AC72DF" w:rsidRDefault="00000000" w:rsidP="00172DB9">
            <w:pPr>
              <w:bidi/>
            </w:pPr>
            <w:r>
              <w:rPr>
                <w:color w:val="263746"/>
                <w:sz w:val="20"/>
                <w:rtl/>
              </w:rPr>
              <w:t>الجرعة الموصوفة</w:t>
            </w:r>
          </w:p>
        </w:tc>
        <w:tc>
          <w:tcPr>
            <w:tcW w:w="5040" w:type="dxa"/>
            <w:shd w:val="clear" w:color="auto" w:fill="F2F6FA"/>
            <w:vAlign w:val="center"/>
          </w:tcPr>
          <w:p w14:paraId="44D2715D" w14:textId="77777777" w:rsidR="00AC72DF" w:rsidRDefault="00000000" w:rsidP="00172DB9">
            <w:pPr>
              <w:bidi/>
            </w:pPr>
            <w:r>
              <w:rPr>
                <w:color w:val="263746"/>
                <w:sz w:val="20"/>
                <w:rtl/>
              </w:rPr>
              <w:t>معدل السائل الخارج الذي يحدده الفريق</w:t>
            </w:r>
          </w:p>
        </w:tc>
      </w:tr>
      <w:tr w:rsidR="00AC72DF" w14:paraId="76C91534" w14:textId="77777777">
        <w:trPr>
          <w:jc w:val="right"/>
        </w:trPr>
        <w:tc>
          <w:tcPr>
            <w:tcW w:w="5040" w:type="dxa"/>
            <w:vAlign w:val="center"/>
          </w:tcPr>
          <w:p w14:paraId="221018CD" w14:textId="77777777" w:rsidR="00AC72DF" w:rsidRDefault="00000000" w:rsidP="00172DB9">
            <w:pPr>
              <w:bidi/>
            </w:pPr>
            <w:r>
              <w:rPr>
                <w:color w:val="263746"/>
                <w:sz w:val="20"/>
                <w:rtl/>
              </w:rPr>
              <w:t>الجرعة المحققة</w:t>
            </w:r>
          </w:p>
        </w:tc>
        <w:tc>
          <w:tcPr>
            <w:tcW w:w="5040" w:type="dxa"/>
            <w:vAlign w:val="center"/>
          </w:tcPr>
          <w:p w14:paraId="5E94352E" w14:textId="77777777" w:rsidR="00AC72DF" w:rsidRDefault="00000000" w:rsidP="00172DB9">
            <w:pPr>
              <w:bidi/>
            </w:pPr>
            <w:r>
              <w:rPr>
                <w:color w:val="263746"/>
                <w:sz w:val="20"/>
                <w:rtl/>
              </w:rPr>
              <w:t>ما وصل فعليًا للمريض بعد احتساب وقت التشغيل والانقطاعات</w:t>
            </w:r>
          </w:p>
        </w:tc>
      </w:tr>
      <w:tr w:rsidR="00AC72DF" w14:paraId="2620CBD3" w14:textId="77777777">
        <w:trPr>
          <w:jc w:val="right"/>
        </w:trPr>
        <w:tc>
          <w:tcPr>
            <w:tcW w:w="5040" w:type="dxa"/>
            <w:shd w:val="clear" w:color="auto" w:fill="F2F6FA"/>
            <w:vAlign w:val="center"/>
          </w:tcPr>
          <w:p w14:paraId="1B3F5086" w14:textId="77777777" w:rsidR="00AC72DF" w:rsidRDefault="00000000" w:rsidP="00172DB9">
            <w:pPr>
              <w:bidi/>
            </w:pPr>
            <w:r>
              <w:rPr>
                <w:color w:val="263746"/>
                <w:sz w:val="20"/>
                <w:rtl/>
              </w:rPr>
              <w:t>قياس شدة العلاج</w:t>
            </w:r>
          </w:p>
        </w:tc>
        <w:tc>
          <w:tcPr>
            <w:tcW w:w="5040" w:type="dxa"/>
            <w:shd w:val="clear" w:color="auto" w:fill="F2F6FA"/>
            <w:vAlign w:val="center"/>
          </w:tcPr>
          <w:p w14:paraId="6700D60E" w14:textId="77777777" w:rsidR="00AC72DF" w:rsidRDefault="00000000" w:rsidP="00172DB9">
            <w:pPr>
              <w:bidi/>
            </w:pPr>
            <w:r>
              <w:rPr>
                <w:color w:val="263746"/>
                <w:sz w:val="20"/>
                <w:rtl/>
              </w:rPr>
              <w:t>حجم السائل الخارج مل/كغ/ساعة؛ لا يصف وحده الحالة السريرية</w:t>
            </w:r>
          </w:p>
        </w:tc>
      </w:tr>
    </w:tbl>
    <w:p w14:paraId="0972486B" w14:textId="77777777" w:rsidR="00E7037A" w:rsidRDefault="00E7037A" w:rsidP="00E7037A">
      <w:pPr>
        <w:bidi/>
        <w:spacing w:after="0"/>
        <w:rPr>
          <w:rFonts w:asciiTheme="minorBidi" w:hAnsiTheme="minorBidi"/>
          <w:b/>
          <w:bCs/>
          <w:sz w:val="24"/>
          <w:szCs w:val="24"/>
          <w:rtl/>
        </w:rPr>
      </w:pPr>
    </w:p>
    <w:p w14:paraId="3B912DC7" w14:textId="77777777" w:rsidR="00E7037A" w:rsidRDefault="00E7037A" w:rsidP="00E7037A">
      <w:pPr>
        <w:bidi/>
        <w:spacing w:after="0"/>
        <w:rPr>
          <w:rFonts w:asciiTheme="minorBidi" w:hAnsiTheme="minorBidi"/>
          <w:b/>
          <w:bCs/>
          <w:sz w:val="24"/>
          <w:szCs w:val="24"/>
          <w:rtl/>
        </w:rPr>
      </w:pPr>
    </w:p>
    <w:p w14:paraId="75ACCB8D" w14:textId="0050EC98" w:rsidR="00E7037A" w:rsidRPr="001F3060" w:rsidRDefault="00E7037A" w:rsidP="00E7037A">
      <w:pPr>
        <w:bidi/>
        <w:spacing w:after="0"/>
        <w:rPr>
          <w:rFonts w:asciiTheme="minorBidi" w:hAnsiTheme="minorBidi"/>
          <w:b/>
          <w:bCs/>
          <w:sz w:val="24"/>
          <w:szCs w:val="24"/>
          <w:rtl/>
        </w:rPr>
      </w:pPr>
      <w:r w:rsidRPr="001F3060">
        <w:rPr>
          <w:rFonts w:asciiTheme="minorBidi" w:hAnsiTheme="minorBidi"/>
          <w:b/>
          <w:bCs/>
          <w:sz w:val="24"/>
          <w:szCs w:val="24"/>
          <w:rtl/>
        </w:rPr>
        <w:t>الفرق بين الجرعة الموصوفة والجرعة المُعطاة فعليًّا</w:t>
      </w:r>
    </w:p>
    <w:p w14:paraId="0109D976"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في الممارسة العملية، تؤدي عدة عوامل إلى أن تكون الجرعة الفعلية المحققة أو المُعطاة من</w:t>
      </w:r>
      <w:r w:rsidRPr="00110337">
        <w:rPr>
          <w:rFonts w:asciiTheme="minorBidi" w:hAnsiTheme="minorBidi"/>
          <w:sz w:val="24"/>
          <w:szCs w:val="24"/>
        </w:rPr>
        <w:t xml:space="preserve"> CKRT </w:t>
      </w:r>
      <w:r w:rsidRPr="00110337">
        <w:rPr>
          <w:rFonts w:asciiTheme="minorBidi" w:hAnsiTheme="minorBidi"/>
          <w:sz w:val="24"/>
          <w:szCs w:val="24"/>
          <w:rtl/>
        </w:rPr>
        <w:t>أقل من الجرعة الموصوفة، ومن هذه العوامل</w:t>
      </w:r>
      <w:r w:rsidRPr="00110337">
        <w:rPr>
          <w:rFonts w:asciiTheme="minorBidi" w:hAnsiTheme="minorBidi"/>
          <w:sz w:val="24"/>
          <w:szCs w:val="24"/>
        </w:rPr>
        <w:t>:</w:t>
      </w:r>
    </w:p>
    <w:p w14:paraId="71E83372"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فقدان جزء من المساحة السطحية الفعالة بسبب تخثّر </w:t>
      </w:r>
      <w:r>
        <w:rPr>
          <w:rFonts w:asciiTheme="minorBidi" w:hAnsiTheme="minorBidi" w:hint="cs"/>
          <w:sz w:val="24"/>
          <w:szCs w:val="24"/>
          <w:rtl/>
        </w:rPr>
        <w:t>الفلتر</w:t>
      </w:r>
      <w:r w:rsidRPr="00110337">
        <w:rPr>
          <w:rFonts w:asciiTheme="minorBidi" w:hAnsiTheme="minorBidi"/>
          <w:sz w:val="24"/>
          <w:szCs w:val="24"/>
          <w:rtl/>
        </w:rPr>
        <w:t xml:space="preserve"> أو انسداد مسامه</w:t>
      </w:r>
    </w:p>
    <w:p w14:paraId="740A835D"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الوقت اللازم لتغيير </w:t>
      </w:r>
      <w:r>
        <w:rPr>
          <w:rFonts w:asciiTheme="minorBidi" w:hAnsiTheme="minorBidi" w:hint="cs"/>
          <w:sz w:val="24"/>
          <w:szCs w:val="24"/>
          <w:rtl/>
        </w:rPr>
        <w:t>الفلتر</w:t>
      </w:r>
    </w:p>
    <w:p w14:paraId="525E8231"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الحاجة إلى إجراء فحوص تصويرية أو إجراءات خارج وحدة العناية المركزة</w:t>
      </w:r>
      <w:r>
        <w:rPr>
          <w:rFonts w:asciiTheme="minorBidi" w:hAnsiTheme="minorBidi" w:hint="cs"/>
          <w:sz w:val="24"/>
          <w:szCs w:val="24"/>
          <w:rtl/>
        </w:rPr>
        <w:t>.</w:t>
      </w:r>
    </w:p>
    <w:p w14:paraId="0EB571F0"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وعوامل أخرى</w:t>
      </w:r>
      <w:r>
        <w:rPr>
          <w:rFonts w:asciiTheme="minorBidi" w:hAnsiTheme="minorBidi" w:hint="cs"/>
          <w:sz w:val="24"/>
          <w:szCs w:val="24"/>
          <w:rtl/>
        </w:rPr>
        <w:t>.</w:t>
      </w:r>
    </w:p>
    <w:p w14:paraId="61E0B963" w14:textId="77777777" w:rsidR="00E7037A" w:rsidRDefault="00E7037A" w:rsidP="00E7037A">
      <w:pPr>
        <w:bidi/>
        <w:spacing w:after="0"/>
        <w:rPr>
          <w:rFonts w:asciiTheme="minorBidi" w:hAnsiTheme="minorBidi"/>
          <w:sz w:val="24"/>
          <w:szCs w:val="24"/>
          <w:rtl/>
        </w:rPr>
      </w:pPr>
    </w:p>
    <w:p w14:paraId="0534E376"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وتشير الدراسات الرصدية إلى أن الجرعة المُعطاة فعليًّا من</w:t>
      </w:r>
      <w:r w:rsidRPr="00110337">
        <w:rPr>
          <w:rFonts w:asciiTheme="minorBidi" w:hAnsiTheme="minorBidi"/>
          <w:sz w:val="24"/>
          <w:szCs w:val="24"/>
        </w:rPr>
        <w:t xml:space="preserve"> CKRT</w:t>
      </w:r>
      <w:r w:rsidRPr="00110337">
        <w:rPr>
          <w:rFonts w:asciiTheme="minorBidi" w:hAnsiTheme="minorBidi"/>
          <w:sz w:val="24"/>
          <w:szCs w:val="24"/>
          <w:rtl/>
        </w:rPr>
        <w:t>، وليس الجرعة الموصوفة، هي التي ترتبط بالنتائج السريرية، إلا أن هذه العلاقة قد تتأثر بعوامل مربكة</w:t>
      </w:r>
      <w:r w:rsidRPr="00110337">
        <w:rPr>
          <w:rFonts w:asciiTheme="minorBidi" w:hAnsiTheme="minorBidi"/>
          <w:sz w:val="24"/>
          <w:szCs w:val="24"/>
        </w:rPr>
        <w:t>.</w:t>
      </w:r>
    </w:p>
    <w:p w14:paraId="5906C6D6"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وللتغلب على الفرق المعتاد بين الجرعة الموصوفة والجرعة المُعطاة، أوصى بعض الخبراء بزيادة الجرعة الموصوفة تجريبيًّا بنسبة</w:t>
      </w:r>
      <w:r>
        <w:rPr>
          <w:rFonts w:asciiTheme="minorBidi" w:hAnsiTheme="minorBidi" w:hint="cs"/>
          <w:sz w:val="24"/>
          <w:szCs w:val="24"/>
          <w:rtl/>
        </w:rPr>
        <w:t xml:space="preserve"> </w:t>
      </w:r>
      <w:r w:rsidRPr="00110337">
        <w:rPr>
          <w:rFonts w:asciiTheme="minorBidi" w:hAnsiTheme="minorBidi"/>
          <w:sz w:val="24"/>
          <w:szCs w:val="24"/>
        </w:rPr>
        <w:t>20%–25%</w:t>
      </w:r>
    </w:p>
    <w:p w14:paraId="7406D695"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إلا أن الجرعة المُعطاة فعليًّا كانت أقل قليلًا من الجرعة الموصوفة في جميع مجموعات تجربتي</w:t>
      </w:r>
      <w:r w:rsidRPr="00110337">
        <w:rPr>
          <w:rFonts w:asciiTheme="minorBidi" w:hAnsiTheme="minorBidi"/>
          <w:sz w:val="24"/>
          <w:szCs w:val="24"/>
        </w:rPr>
        <w:t xml:space="preserve"> ATN </w:t>
      </w:r>
      <w:r w:rsidRPr="00110337">
        <w:rPr>
          <w:rFonts w:asciiTheme="minorBidi" w:hAnsiTheme="minorBidi"/>
          <w:sz w:val="24"/>
          <w:szCs w:val="24"/>
          <w:rtl/>
        </w:rPr>
        <w:t>و</w:t>
      </w:r>
      <w:r w:rsidRPr="00110337">
        <w:rPr>
          <w:rFonts w:asciiTheme="minorBidi" w:hAnsiTheme="minorBidi"/>
          <w:sz w:val="24"/>
          <w:szCs w:val="24"/>
        </w:rPr>
        <w:t>RENAL</w:t>
      </w:r>
    </w:p>
    <w:p w14:paraId="4562FFF9"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فعلى سبيل المثال، في مجموعات الجرعة المنخفضة</w:t>
      </w:r>
      <w:r w:rsidRPr="00110337">
        <w:rPr>
          <w:rFonts w:asciiTheme="minorBidi" w:hAnsiTheme="minorBidi"/>
          <w:sz w:val="24"/>
          <w:szCs w:val="24"/>
        </w:rPr>
        <w:t>:</w:t>
      </w:r>
    </w:p>
    <w:p w14:paraId="0202D864"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ف</w:t>
      </w:r>
      <w:r>
        <w:rPr>
          <w:rFonts w:asciiTheme="minorBidi" w:hAnsiTheme="minorBidi" w:hint="cs"/>
          <w:sz w:val="24"/>
          <w:szCs w:val="24"/>
          <w:rtl/>
        </w:rPr>
        <w:t xml:space="preserve">ي </w:t>
      </w:r>
      <w:r>
        <w:rPr>
          <w:rFonts w:asciiTheme="minorBidi" w:hAnsiTheme="minorBidi"/>
          <w:sz w:val="24"/>
          <w:szCs w:val="24"/>
        </w:rPr>
        <w:t xml:space="preserve"> ATN</w:t>
      </w:r>
      <w:r>
        <w:rPr>
          <w:rFonts w:asciiTheme="minorBidi" w:hAnsiTheme="minorBidi" w:hint="cs"/>
          <w:sz w:val="24"/>
          <w:szCs w:val="24"/>
          <w:rtl/>
        </w:rPr>
        <w:t xml:space="preserve"> كانت 17.5 </w:t>
      </w:r>
      <w:r w:rsidRPr="00110337">
        <w:rPr>
          <w:rFonts w:asciiTheme="minorBidi" w:hAnsiTheme="minorBidi"/>
          <w:sz w:val="24"/>
          <w:szCs w:val="24"/>
          <w:rtl/>
        </w:rPr>
        <w:t>مقابل 20 مل/كغ/ساعة</w:t>
      </w:r>
    </w:p>
    <w:p w14:paraId="42341B24"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في</w:t>
      </w:r>
      <w:r>
        <w:rPr>
          <w:rFonts w:asciiTheme="minorBidi" w:hAnsiTheme="minorBidi" w:hint="cs"/>
          <w:sz w:val="24"/>
          <w:szCs w:val="24"/>
          <w:rtl/>
        </w:rPr>
        <w:t xml:space="preserve"> </w:t>
      </w:r>
      <w:r w:rsidRPr="00110337">
        <w:rPr>
          <w:rFonts w:asciiTheme="minorBidi" w:hAnsiTheme="minorBidi"/>
          <w:sz w:val="24"/>
          <w:szCs w:val="24"/>
        </w:rPr>
        <w:t>RENAL</w:t>
      </w:r>
      <w:r>
        <w:rPr>
          <w:rFonts w:asciiTheme="minorBidi" w:hAnsiTheme="minorBidi" w:hint="cs"/>
          <w:sz w:val="24"/>
          <w:szCs w:val="24"/>
          <w:rtl/>
        </w:rPr>
        <w:t xml:space="preserve"> كانت </w:t>
      </w:r>
      <w:r w:rsidRPr="00110337">
        <w:rPr>
          <w:rFonts w:asciiTheme="minorBidi" w:hAnsiTheme="minorBidi"/>
          <w:sz w:val="24"/>
          <w:szCs w:val="24"/>
        </w:rPr>
        <w:t>22</w:t>
      </w:r>
      <w:r>
        <w:rPr>
          <w:rFonts w:asciiTheme="minorBidi" w:hAnsiTheme="minorBidi" w:hint="cs"/>
          <w:sz w:val="24"/>
          <w:szCs w:val="24"/>
          <w:rtl/>
        </w:rPr>
        <w:t xml:space="preserve"> </w:t>
      </w:r>
      <w:r w:rsidRPr="00110337">
        <w:rPr>
          <w:rFonts w:asciiTheme="minorBidi" w:hAnsiTheme="minorBidi"/>
          <w:sz w:val="24"/>
          <w:szCs w:val="24"/>
          <w:rtl/>
        </w:rPr>
        <w:t>مقابل 25 مل/كغ/ساعة</w:t>
      </w:r>
    </w:p>
    <w:p w14:paraId="6402115D"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ومع ذلك، كانت النتائج السريرية متكافئة عند إعطاء جرعات فعلية تراوحت بين</w:t>
      </w:r>
      <w:r>
        <w:rPr>
          <w:rFonts w:asciiTheme="minorBidi" w:hAnsiTheme="minorBidi" w:hint="cs"/>
          <w:sz w:val="24"/>
          <w:szCs w:val="24"/>
          <w:rtl/>
        </w:rPr>
        <w:t xml:space="preserve"> </w:t>
      </w:r>
      <w:r w:rsidRPr="00110337">
        <w:rPr>
          <w:rFonts w:asciiTheme="minorBidi" w:hAnsiTheme="minorBidi"/>
          <w:sz w:val="24"/>
          <w:szCs w:val="24"/>
        </w:rPr>
        <w:t>17.5–22</w:t>
      </w:r>
      <w:r>
        <w:rPr>
          <w:rFonts w:asciiTheme="minorBidi" w:hAnsiTheme="minorBidi" w:hint="cs"/>
          <w:sz w:val="24"/>
          <w:szCs w:val="24"/>
          <w:rtl/>
        </w:rPr>
        <w:t xml:space="preserve"> </w:t>
      </w:r>
      <w:r w:rsidRPr="00110337">
        <w:rPr>
          <w:rFonts w:asciiTheme="minorBidi" w:hAnsiTheme="minorBidi"/>
          <w:sz w:val="24"/>
          <w:szCs w:val="24"/>
          <w:rtl/>
        </w:rPr>
        <w:t>مل/كغ/ساعة</w:t>
      </w:r>
      <w:r w:rsidRPr="00110337">
        <w:rPr>
          <w:rFonts w:asciiTheme="minorBidi" w:hAnsiTheme="minorBidi"/>
          <w:sz w:val="24"/>
          <w:szCs w:val="24"/>
        </w:rPr>
        <w:t>.</w:t>
      </w:r>
    </w:p>
    <w:p w14:paraId="3E611319"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ولذلك فقد لا تكون هناك ضرورة لزيادة الجرعة الموصوفة إلى أكثر من</w:t>
      </w:r>
      <w:r>
        <w:rPr>
          <w:rFonts w:asciiTheme="minorBidi" w:hAnsiTheme="minorBidi" w:hint="cs"/>
          <w:sz w:val="24"/>
          <w:szCs w:val="24"/>
          <w:rtl/>
        </w:rPr>
        <w:t xml:space="preserve"> </w:t>
      </w:r>
      <w:r w:rsidRPr="00110337">
        <w:rPr>
          <w:rFonts w:asciiTheme="minorBidi" w:hAnsiTheme="minorBidi"/>
          <w:sz w:val="24"/>
          <w:szCs w:val="24"/>
        </w:rPr>
        <w:t>25</w:t>
      </w:r>
      <w:r>
        <w:rPr>
          <w:rFonts w:asciiTheme="minorBidi" w:hAnsiTheme="minorBidi" w:hint="cs"/>
          <w:sz w:val="24"/>
          <w:szCs w:val="24"/>
          <w:rtl/>
        </w:rPr>
        <w:t xml:space="preserve"> </w:t>
      </w:r>
      <w:r w:rsidRPr="00110337">
        <w:rPr>
          <w:rFonts w:asciiTheme="minorBidi" w:hAnsiTheme="minorBidi"/>
          <w:sz w:val="24"/>
          <w:szCs w:val="24"/>
          <w:rtl/>
        </w:rPr>
        <w:t>مل/كغ/ساعة</w:t>
      </w:r>
      <w:r w:rsidRPr="00110337">
        <w:rPr>
          <w:rFonts w:asciiTheme="minorBidi" w:hAnsiTheme="minorBidi"/>
          <w:sz w:val="24"/>
          <w:szCs w:val="24"/>
        </w:rPr>
        <w:t>.</w:t>
      </w:r>
    </w:p>
    <w:p w14:paraId="2D2678A8" w14:textId="77777777" w:rsidR="00E7037A" w:rsidRDefault="00E7037A" w:rsidP="00E7037A">
      <w:pPr>
        <w:bidi/>
        <w:spacing w:after="0"/>
        <w:rPr>
          <w:rFonts w:asciiTheme="minorBidi" w:hAnsiTheme="minorBidi"/>
          <w:sz w:val="24"/>
          <w:szCs w:val="24"/>
          <w:rtl/>
        </w:rPr>
      </w:pPr>
    </w:p>
    <w:p w14:paraId="37EF7EF4" w14:textId="77777777" w:rsidR="00E7037A" w:rsidRPr="001F3060" w:rsidRDefault="00E7037A" w:rsidP="00E7037A">
      <w:pPr>
        <w:bidi/>
        <w:spacing w:after="0"/>
        <w:rPr>
          <w:rFonts w:asciiTheme="minorBidi" w:hAnsiTheme="minorBidi"/>
          <w:b/>
          <w:bCs/>
          <w:sz w:val="24"/>
          <w:szCs w:val="24"/>
          <w:rtl/>
        </w:rPr>
      </w:pPr>
      <w:r w:rsidRPr="001F3060">
        <w:rPr>
          <w:rFonts w:asciiTheme="minorBidi" w:hAnsiTheme="minorBidi"/>
          <w:b/>
          <w:bCs/>
          <w:sz w:val="24"/>
          <w:szCs w:val="24"/>
          <w:rtl/>
        </w:rPr>
        <w:t>هل يمكن استخدام جرعات أقل من 20 مل/كغ/ساعة؟</w:t>
      </w:r>
    </w:p>
    <w:p w14:paraId="79E619C6"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على الرغم من أن هذا الأمر ما يزال موضع جدل، فمن الممكن نظريًّا أن تكون الجرعات الموصوفة الأقل من</w:t>
      </w:r>
      <w:r>
        <w:rPr>
          <w:rFonts w:asciiTheme="minorBidi" w:hAnsiTheme="minorBidi" w:hint="cs"/>
          <w:sz w:val="24"/>
          <w:szCs w:val="24"/>
          <w:rtl/>
        </w:rPr>
        <w:t xml:space="preserve"> </w:t>
      </w:r>
      <w:r w:rsidRPr="00110337">
        <w:rPr>
          <w:rFonts w:asciiTheme="minorBidi" w:hAnsiTheme="minorBidi"/>
          <w:sz w:val="24"/>
          <w:szCs w:val="24"/>
        </w:rPr>
        <w:t>20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مل/كغ/ساعة</w:t>
      </w:r>
      <w:r>
        <w:rPr>
          <w:rFonts w:asciiTheme="minorBidi" w:hAnsiTheme="minorBidi" w:hint="cs"/>
          <w:sz w:val="24"/>
          <w:szCs w:val="24"/>
          <w:rtl/>
        </w:rPr>
        <w:t xml:space="preserve"> ، ليست</w:t>
      </w:r>
      <w:r w:rsidRPr="00110337">
        <w:rPr>
          <w:rFonts w:asciiTheme="minorBidi" w:hAnsiTheme="minorBidi"/>
          <w:sz w:val="24"/>
          <w:szCs w:val="24"/>
          <w:rtl/>
        </w:rPr>
        <w:t xml:space="preserve"> </w:t>
      </w:r>
      <w:r>
        <w:rPr>
          <w:rFonts w:asciiTheme="minorBidi" w:hAnsiTheme="minorBidi" w:hint="cs"/>
          <w:sz w:val="24"/>
          <w:szCs w:val="24"/>
          <w:rtl/>
        </w:rPr>
        <w:t>أقل فعالية</w:t>
      </w:r>
      <w:r w:rsidRPr="00110337">
        <w:rPr>
          <w:rFonts w:asciiTheme="minorBidi" w:hAnsiTheme="minorBidi"/>
          <w:sz w:val="24"/>
          <w:szCs w:val="24"/>
          <w:rtl/>
        </w:rPr>
        <w:t xml:space="preserve"> من الجرعات القياسية</w:t>
      </w:r>
      <w:r>
        <w:rPr>
          <w:rFonts w:asciiTheme="minorBidi" w:hAnsiTheme="minorBidi" w:hint="cs"/>
          <w:sz w:val="24"/>
          <w:szCs w:val="24"/>
          <w:rtl/>
        </w:rPr>
        <w:t>.</w:t>
      </w:r>
    </w:p>
    <w:p w14:paraId="0B77B78B"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وهناك تجارب جارية لدراسة ذلك، لكن لا توجد حاليًّا بيانات من تجارب عشوائية مضبوطة تدعم هذه الاستراتيجية</w:t>
      </w:r>
      <w:r w:rsidRPr="00110337">
        <w:rPr>
          <w:rFonts w:asciiTheme="minorBidi" w:hAnsiTheme="minorBidi"/>
          <w:sz w:val="24"/>
          <w:szCs w:val="24"/>
        </w:rPr>
        <w:t>.</w:t>
      </w:r>
    </w:p>
    <w:p w14:paraId="0AC917A8"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 xml:space="preserve">كما أن مقاييس أكثر شمولًا لكفاية إزالة </w:t>
      </w:r>
      <w:r>
        <w:rPr>
          <w:rFonts w:asciiTheme="minorBidi" w:hAnsiTheme="minorBidi" w:hint="cs"/>
          <w:sz w:val="24"/>
          <w:szCs w:val="24"/>
          <w:rtl/>
        </w:rPr>
        <w:t>المواد المذابة</w:t>
      </w:r>
      <w:r w:rsidRPr="00110337">
        <w:rPr>
          <w:rFonts w:asciiTheme="minorBidi" w:hAnsiTheme="minorBidi"/>
          <w:sz w:val="24"/>
          <w:szCs w:val="24"/>
          <w:rtl/>
        </w:rPr>
        <w:t xml:space="preserve"> قد تكون مهمة بقدر أهمية</w:t>
      </w:r>
      <w:r w:rsidRPr="00110337">
        <w:rPr>
          <w:rFonts w:asciiTheme="minorBidi" w:hAnsiTheme="minorBidi"/>
          <w:sz w:val="24"/>
          <w:szCs w:val="24"/>
        </w:rPr>
        <w:t xml:space="preserve"> </w:t>
      </w:r>
      <w:proofErr w:type="spellStart"/>
      <w:r w:rsidRPr="00110337">
        <w:rPr>
          <w:rFonts w:asciiTheme="minorBidi" w:hAnsiTheme="minorBidi"/>
          <w:sz w:val="24"/>
          <w:szCs w:val="24"/>
        </w:rPr>
        <w:t>Qef</w:t>
      </w:r>
      <w:proofErr w:type="spellEnd"/>
      <w:r w:rsidRPr="00110337">
        <w:rPr>
          <w:rFonts w:asciiTheme="minorBidi" w:hAnsiTheme="minorBidi"/>
          <w:sz w:val="24"/>
          <w:szCs w:val="24"/>
        </w:rPr>
        <w:t xml:space="preserve"> </w:t>
      </w:r>
      <w:r w:rsidRPr="00110337">
        <w:rPr>
          <w:rFonts w:asciiTheme="minorBidi" w:hAnsiTheme="minorBidi"/>
          <w:sz w:val="24"/>
          <w:szCs w:val="24"/>
          <w:rtl/>
        </w:rPr>
        <w:t>الموصوف، ومنها</w:t>
      </w:r>
      <w:r w:rsidRPr="00110337">
        <w:rPr>
          <w:rFonts w:asciiTheme="minorBidi" w:hAnsiTheme="minorBidi"/>
          <w:sz w:val="24"/>
          <w:szCs w:val="24"/>
        </w:rPr>
        <w:t>:</w:t>
      </w:r>
    </w:p>
    <w:p w14:paraId="5F9D386F"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استتباب الشوارد</w:t>
      </w:r>
      <w:r w:rsidRPr="00110337">
        <w:rPr>
          <w:rFonts w:asciiTheme="minorBidi" w:hAnsiTheme="minorBidi"/>
          <w:sz w:val="24"/>
          <w:szCs w:val="24"/>
        </w:rPr>
        <w:t>.</w:t>
      </w:r>
    </w:p>
    <w:p w14:paraId="2D8AE134"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التوازن الحمضي-القاعدي</w:t>
      </w:r>
    </w:p>
    <w:p w14:paraId="43EE4A6D"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تركيز البوتاسيوم</w:t>
      </w:r>
    </w:p>
    <w:p w14:paraId="27AA1CD4"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درجة الحموضة</w:t>
      </w:r>
      <w:r>
        <w:rPr>
          <w:rFonts w:asciiTheme="minorBidi" w:hAnsiTheme="minorBidi" w:hint="cs"/>
          <w:sz w:val="24"/>
          <w:szCs w:val="24"/>
          <w:rtl/>
        </w:rPr>
        <w:t xml:space="preserve"> </w:t>
      </w:r>
      <w:r w:rsidRPr="00110337">
        <w:rPr>
          <w:rFonts w:asciiTheme="minorBidi" w:hAnsiTheme="minorBidi"/>
          <w:sz w:val="24"/>
          <w:szCs w:val="24"/>
        </w:rPr>
        <w:t xml:space="preserve"> pH</w:t>
      </w:r>
    </w:p>
    <w:p w14:paraId="4420B3B4"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ومن المخاطر المحتملة للجرعات الأعلى المُعطاة من</w:t>
      </w:r>
      <w:r w:rsidRPr="00110337">
        <w:rPr>
          <w:rFonts w:asciiTheme="minorBidi" w:hAnsiTheme="minorBidi"/>
          <w:sz w:val="24"/>
          <w:szCs w:val="24"/>
        </w:rPr>
        <w:t xml:space="preserve"> CKRT </w:t>
      </w:r>
      <w:r w:rsidRPr="00110337">
        <w:rPr>
          <w:rFonts w:asciiTheme="minorBidi" w:hAnsiTheme="minorBidi"/>
          <w:sz w:val="24"/>
          <w:szCs w:val="24"/>
          <w:rtl/>
        </w:rPr>
        <w:t>حدوث إزالة زائدة أو غير مرغوب فيها لـ</w:t>
      </w:r>
      <w:r w:rsidRPr="00110337">
        <w:rPr>
          <w:rFonts w:asciiTheme="minorBidi" w:hAnsiTheme="minorBidi"/>
          <w:sz w:val="24"/>
          <w:szCs w:val="24"/>
        </w:rPr>
        <w:t>:</w:t>
      </w:r>
    </w:p>
    <w:p w14:paraId="359ACD31"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lastRenderedPageBreak/>
        <w:t xml:space="preserve">ـ </w:t>
      </w:r>
      <w:r w:rsidRPr="00110337">
        <w:rPr>
          <w:rFonts w:asciiTheme="minorBidi" w:hAnsiTheme="minorBidi"/>
          <w:sz w:val="24"/>
          <w:szCs w:val="24"/>
          <w:rtl/>
        </w:rPr>
        <w:t>الشوارد، ولا سيما الفوسفات</w:t>
      </w:r>
    </w:p>
    <w:p w14:paraId="0EBEB19D"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المغذيات الدقيقة</w:t>
      </w:r>
    </w:p>
    <w:p w14:paraId="44B07B39"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الأدوية</w:t>
      </w:r>
    </w:p>
    <w:p w14:paraId="41741379" w14:textId="77777777" w:rsidR="00E7037A" w:rsidRDefault="00E7037A" w:rsidP="00E7037A">
      <w:pPr>
        <w:bidi/>
        <w:spacing w:after="0"/>
        <w:rPr>
          <w:rFonts w:asciiTheme="minorBidi" w:hAnsiTheme="minorBidi"/>
          <w:sz w:val="24"/>
          <w:szCs w:val="24"/>
          <w:rtl/>
        </w:rPr>
      </w:pPr>
    </w:p>
    <w:p w14:paraId="1D1BD3AA" w14:textId="77777777" w:rsidR="00E7037A" w:rsidRPr="00102411" w:rsidRDefault="00E7037A" w:rsidP="00E7037A">
      <w:pPr>
        <w:bidi/>
        <w:spacing w:after="0"/>
        <w:rPr>
          <w:rFonts w:asciiTheme="minorBidi" w:hAnsiTheme="minorBidi"/>
          <w:b/>
          <w:bCs/>
          <w:sz w:val="24"/>
          <w:szCs w:val="24"/>
          <w:rtl/>
        </w:rPr>
      </w:pPr>
      <w:r w:rsidRPr="00102411">
        <w:rPr>
          <w:rFonts w:asciiTheme="minorBidi" w:hAnsiTheme="minorBidi"/>
          <w:b/>
          <w:bCs/>
          <w:sz w:val="24"/>
          <w:szCs w:val="24"/>
          <w:rtl/>
        </w:rPr>
        <w:t>تأثير موضع إعطاء محلول التعويض في الجرعة</w:t>
      </w:r>
    </w:p>
    <w:p w14:paraId="4F93D7E8"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يؤثر موقع إعطاء محلول التعويض ضمن دارة</w:t>
      </w:r>
      <w:r w:rsidRPr="00110337">
        <w:rPr>
          <w:rFonts w:asciiTheme="minorBidi" w:hAnsiTheme="minorBidi"/>
          <w:sz w:val="24"/>
          <w:szCs w:val="24"/>
        </w:rPr>
        <w:t xml:space="preserve"> CKRT </w:t>
      </w:r>
      <w:r w:rsidRPr="00110337">
        <w:rPr>
          <w:rFonts w:asciiTheme="minorBidi" w:hAnsiTheme="minorBidi"/>
          <w:sz w:val="24"/>
          <w:szCs w:val="24"/>
          <w:rtl/>
        </w:rPr>
        <w:t>في الجرعة، خاصةً في</w:t>
      </w:r>
      <w:r w:rsidRPr="00110337">
        <w:rPr>
          <w:rFonts w:asciiTheme="minorBidi" w:hAnsiTheme="minorBidi"/>
          <w:sz w:val="24"/>
          <w:szCs w:val="24"/>
        </w:rPr>
        <w:t>:</w:t>
      </w:r>
    </w:p>
    <w:p w14:paraId="75CEAD21" w14:textId="77777777" w:rsidR="00E7037A" w:rsidRPr="00110337" w:rsidRDefault="00E7037A" w:rsidP="00E7037A">
      <w:pPr>
        <w:bidi/>
        <w:spacing w:after="0"/>
        <w:rPr>
          <w:rFonts w:asciiTheme="minorBidi" w:hAnsiTheme="minorBidi"/>
          <w:sz w:val="24"/>
          <w:szCs w:val="24"/>
        </w:rPr>
      </w:pPr>
      <w:r>
        <w:rPr>
          <w:rFonts w:asciiTheme="minorBidi" w:hAnsiTheme="minorBidi" w:hint="cs"/>
          <w:sz w:val="24"/>
          <w:szCs w:val="24"/>
          <w:rtl/>
        </w:rPr>
        <w:t xml:space="preserve">ـ </w:t>
      </w:r>
      <w:r w:rsidRPr="00110337">
        <w:rPr>
          <w:rFonts w:asciiTheme="minorBidi" w:hAnsiTheme="minorBidi"/>
          <w:sz w:val="24"/>
          <w:szCs w:val="24"/>
        </w:rPr>
        <w:t>CVVH</w:t>
      </w:r>
    </w:p>
    <w:p w14:paraId="14D4C0A1" w14:textId="77777777" w:rsidR="00E7037A" w:rsidRPr="00110337" w:rsidRDefault="00E7037A" w:rsidP="00E7037A">
      <w:pPr>
        <w:bidi/>
        <w:spacing w:after="0"/>
        <w:rPr>
          <w:rFonts w:asciiTheme="minorBidi" w:hAnsiTheme="minorBidi"/>
          <w:sz w:val="24"/>
          <w:szCs w:val="24"/>
        </w:rPr>
      </w:pPr>
      <w:r>
        <w:rPr>
          <w:rFonts w:asciiTheme="minorBidi" w:hAnsiTheme="minorBidi" w:hint="cs"/>
          <w:sz w:val="24"/>
          <w:szCs w:val="24"/>
          <w:rtl/>
        </w:rPr>
        <w:t xml:space="preserve">ـ </w:t>
      </w:r>
      <w:r w:rsidRPr="00110337">
        <w:rPr>
          <w:rFonts w:asciiTheme="minorBidi" w:hAnsiTheme="minorBidi"/>
          <w:sz w:val="24"/>
          <w:szCs w:val="24"/>
        </w:rPr>
        <w:t>CVVHDF</w:t>
      </w:r>
    </w:p>
    <w:p w14:paraId="40EE9ADC" w14:textId="77777777" w:rsidR="00E7037A" w:rsidRDefault="00E7037A" w:rsidP="00E7037A">
      <w:pPr>
        <w:bidi/>
        <w:spacing w:after="0"/>
        <w:rPr>
          <w:rFonts w:asciiTheme="minorBidi" w:hAnsiTheme="minorBidi"/>
          <w:sz w:val="24"/>
          <w:szCs w:val="24"/>
          <w:rtl/>
        </w:rPr>
      </w:pPr>
    </w:p>
    <w:p w14:paraId="1CB7B082" w14:textId="77777777" w:rsidR="00E7037A" w:rsidRPr="006F6D8A" w:rsidRDefault="00E7037A" w:rsidP="00E7037A">
      <w:pPr>
        <w:bidi/>
        <w:spacing w:after="0"/>
        <w:rPr>
          <w:rFonts w:asciiTheme="minorBidi" w:hAnsiTheme="minorBidi"/>
          <w:b/>
          <w:bCs/>
          <w:sz w:val="24"/>
          <w:szCs w:val="24"/>
          <w:rtl/>
        </w:rPr>
      </w:pPr>
      <w:r w:rsidRPr="006F6D8A">
        <w:rPr>
          <w:rFonts w:asciiTheme="minorBidi" w:hAnsiTheme="minorBidi"/>
          <w:b/>
          <w:bCs/>
          <w:sz w:val="24"/>
          <w:szCs w:val="24"/>
          <w:rtl/>
        </w:rPr>
        <w:t xml:space="preserve">التعويض بعد </w:t>
      </w:r>
      <w:r w:rsidRPr="006F6D8A">
        <w:rPr>
          <w:rFonts w:asciiTheme="minorBidi" w:hAnsiTheme="minorBidi" w:hint="cs"/>
          <w:b/>
          <w:bCs/>
          <w:sz w:val="24"/>
          <w:szCs w:val="24"/>
          <w:rtl/>
        </w:rPr>
        <w:t xml:space="preserve">الفلتر </w:t>
      </w:r>
      <w:r w:rsidRPr="006F6D8A">
        <w:rPr>
          <w:rFonts w:asciiTheme="minorBidi" w:hAnsiTheme="minorBidi"/>
          <w:b/>
          <w:bCs/>
          <w:sz w:val="24"/>
          <w:szCs w:val="24"/>
        </w:rPr>
        <w:t xml:space="preserve"> Postfilter / </w:t>
      </w:r>
      <w:proofErr w:type="spellStart"/>
      <w:r w:rsidRPr="006F6D8A">
        <w:rPr>
          <w:rFonts w:asciiTheme="minorBidi" w:hAnsiTheme="minorBidi"/>
          <w:b/>
          <w:bCs/>
          <w:sz w:val="24"/>
          <w:szCs w:val="24"/>
        </w:rPr>
        <w:t>Postdilution</w:t>
      </w:r>
      <w:proofErr w:type="spellEnd"/>
    </w:p>
    <w:p w14:paraId="4DFB22BF"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 xml:space="preserve">عندما يُعطى محلول التعويض بعد </w:t>
      </w:r>
      <w:r>
        <w:rPr>
          <w:rFonts w:asciiTheme="minorBidi" w:hAnsiTheme="minorBidi" w:hint="cs"/>
          <w:sz w:val="24"/>
          <w:szCs w:val="24"/>
          <w:rtl/>
        </w:rPr>
        <w:t xml:space="preserve">الفلتر </w:t>
      </w:r>
      <w:r w:rsidRPr="00110337">
        <w:rPr>
          <w:rFonts w:asciiTheme="minorBidi" w:hAnsiTheme="minorBidi"/>
          <w:sz w:val="24"/>
          <w:szCs w:val="24"/>
          <w:rtl/>
        </w:rPr>
        <w:t xml:space="preserve">، أي بطريقة التخفيف بعد </w:t>
      </w:r>
      <w:r>
        <w:rPr>
          <w:rFonts w:asciiTheme="minorBidi" w:hAnsiTheme="minorBidi" w:hint="cs"/>
          <w:sz w:val="24"/>
          <w:szCs w:val="24"/>
          <w:rtl/>
        </w:rPr>
        <w:t xml:space="preserve">الفلتر </w:t>
      </w:r>
      <w:r w:rsidRPr="00110337">
        <w:rPr>
          <w:rFonts w:asciiTheme="minorBidi" w:hAnsiTheme="minorBidi"/>
          <w:sz w:val="24"/>
          <w:szCs w:val="24"/>
        </w:rPr>
        <w:t xml:space="preserve"> (</w:t>
      </w:r>
      <w:proofErr w:type="spellStart"/>
      <w:r w:rsidRPr="00110337">
        <w:rPr>
          <w:rFonts w:asciiTheme="minorBidi" w:hAnsiTheme="minorBidi"/>
          <w:sz w:val="24"/>
          <w:szCs w:val="24"/>
        </w:rPr>
        <w:t>Postdilution</w:t>
      </w:r>
      <w:proofErr w:type="spellEnd"/>
      <w:r w:rsidRPr="00110337">
        <w:rPr>
          <w:rFonts w:asciiTheme="minorBidi" w:hAnsiTheme="minorBidi"/>
          <w:sz w:val="24"/>
          <w:szCs w:val="24"/>
        </w:rPr>
        <w:t>)</w:t>
      </w:r>
      <w:r w:rsidRPr="00110337">
        <w:rPr>
          <w:rFonts w:asciiTheme="minorBidi" w:hAnsiTheme="minorBidi"/>
          <w:sz w:val="24"/>
          <w:szCs w:val="24"/>
          <w:rtl/>
        </w:rPr>
        <w:t xml:space="preserve">، تكون إزالة المذابات بأقصى كفاءة؛ لأن تركيز </w:t>
      </w:r>
      <w:r>
        <w:rPr>
          <w:rFonts w:asciiTheme="minorBidi" w:hAnsiTheme="minorBidi" w:hint="cs"/>
          <w:sz w:val="24"/>
          <w:szCs w:val="24"/>
          <w:rtl/>
        </w:rPr>
        <w:t>المادة</w:t>
      </w:r>
      <w:r w:rsidRPr="00110337">
        <w:rPr>
          <w:rFonts w:asciiTheme="minorBidi" w:hAnsiTheme="minorBidi"/>
          <w:sz w:val="24"/>
          <w:szCs w:val="24"/>
          <w:rtl/>
        </w:rPr>
        <w:t xml:space="preserve"> في الرشاحة الفائقة يكون مساويًا لتركيزه في ماء البلازما</w:t>
      </w:r>
      <w:r w:rsidRPr="00110337">
        <w:rPr>
          <w:rFonts w:asciiTheme="minorBidi" w:hAnsiTheme="minorBidi"/>
          <w:sz w:val="24"/>
          <w:szCs w:val="24"/>
        </w:rPr>
        <w:t>.</w:t>
      </w:r>
    </w:p>
    <w:p w14:paraId="3670EA14"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لكن المقابل لذلك هو أن ترشيح ماء البلازما غير المخفف يؤدي إلى زيادة ملحوظة في تركيز</w:t>
      </w:r>
      <w:r w:rsidRPr="00110337">
        <w:rPr>
          <w:rFonts w:asciiTheme="minorBidi" w:hAnsiTheme="minorBidi"/>
          <w:sz w:val="24"/>
          <w:szCs w:val="24"/>
        </w:rPr>
        <w:t>:</w:t>
      </w:r>
    </w:p>
    <w:p w14:paraId="24D0E24D"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كريات الدم الحمراء</w:t>
      </w:r>
      <w:r w:rsidRPr="00110337">
        <w:rPr>
          <w:rFonts w:asciiTheme="minorBidi" w:hAnsiTheme="minorBidi"/>
          <w:sz w:val="24"/>
          <w:szCs w:val="24"/>
        </w:rPr>
        <w:t>.</w:t>
      </w:r>
    </w:p>
    <w:p w14:paraId="7C866010"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والبروتينات</w:t>
      </w:r>
      <w:r w:rsidRPr="00110337">
        <w:rPr>
          <w:rFonts w:asciiTheme="minorBidi" w:hAnsiTheme="minorBidi"/>
          <w:sz w:val="24"/>
          <w:szCs w:val="24"/>
        </w:rPr>
        <w:t>.</w:t>
      </w:r>
    </w:p>
    <w:p w14:paraId="4A203994"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 xml:space="preserve">على امتداد </w:t>
      </w:r>
      <w:r>
        <w:rPr>
          <w:rFonts w:asciiTheme="minorBidi" w:hAnsiTheme="minorBidi" w:hint="cs"/>
          <w:sz w:val="24"/>
          <w:szCs w:val="24"/>
          <w:rtl/>
        </w:rPr>
        <w:t xml:space="preserve">الفلتر </w:t>
      </w:r>
      <w:r w:rsidRPr="00110337">
        <w:rPr>
          <w:rFonts w:asciiTheme="minorBidi" w:hAnsiTheme="minorBidi"/>
          <w:sz w:val="24"/>
          <w:szCs w:val="24"/>
          <w:rtl/>
        </w:rPr>
        <w:t xml:space="preserve">، ما يزيد خطر تخثّر </w:t>
      </w:r>
      <w:r>
        <w:rPr>
          <w:rFonts w:asciiTheme="minorBidi" w:hAnsiTheme="minorBidi" w:hint="cs"/>
          <w:sz w:val="24"/>
          <w:szCs w:val="24"/>
          <w:rtl/>
        </w:rPr>
        <w:t xml:space="preserve">الفلتر. </w:t>
      </w:r>
    </w:p>
    <w:p w14:paraId="514DAEAB" w14:textId="77777777" w:rsidR="00E7037A" w:rsidRDefault="00E7037A" w:rsidP="00E7037A">
      <w:pPr>
        <w:bidi/>
        <w:spacing w:after="0"/>
        <w:rPr>
          <w:rFonts w:asciiTheme="minorBidi" w:hAnsiTheme="minorBidi"/>
          <w:sz w:val="24"/>
          <w:szCs w:val="24"/>
          <w:rtl/>
        </w:rPr>
      </w:pPr>
    </w:p>
    <w:p w14:paraId="2C32B009" w14:textId="77777777" w:rsidR="00E7037A" w:rsidRPr="006F6D8A" w:rsidRDefault="00E7037A" w:rsidP="00E7037A">
      <w:pPr>
        <w:bidi/>
        <w:spacing w:after="0"/>
        <w:rPr>
          <w:rFonts w:asciiTheme="minorBidi" w:hAnsiTheme="minorBidi"/>
          <w:b/>
          <w:bCs/>
          <w:sz w:val="24"/>
          <w:szCs w:val="24"/>
          <w:rtl/>
        </w:rPr>
      </w:pPr>
      <w:r w:rsidRPr="006F6D8A">
        <w:rPr>
          <w:rFonts w:asciiTheme="minorBidi" w:hAnsiTheme="minorBidi"/>
          <w:b/>
          <w:bCs/>
          <w:sz w:val="24"/>
          <w:szCs w:val="24"/>
          <w:rtl/>
        </w:rPr>
        <w:t>الكسر الترشيحي</w:t>
      </w:r>
      <w:r w:rsidRPr="006F6D8A">
        <w:rPr>
          <w:rFonts w:asciiTheme="minorBidi" w:hAnsiTheme="minorBidi" w:hint="cs"/>
          <w:b/>
          <w:bCs/>
          <w:sz w:val="24"/>
          <w:szCs w:val="24"/>
          <w:rtl/>
        </w:rPr>
        <w:t xml:space="preserve"> </w:t>
      </w:r>
      <w:r w:rsidRPr="006F6D8A">
        <w:rPr>
          <w:rFonts w:asciiTheme="minorBidi" w:hAnsiTheme="minorBidi"/>
          <w:b/>
          <w:bCs/>
          <w:sz w:val="24"/>
          <w:szCs w:val="24"/>
        </w:rPr>
        <w:t xml:space="preserve"> Filtration Fraction</w:t>
      </w:r>
    </w:p>
    <w:p w14:paraId="2F9821E9"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يُقدّر خطر التخثّر الناتج عن تركيز الدم داخل مرشح</w:t>
      </w:r>
      <w:r w:rsidRPr="00110337">
        <w:rPr>
          <w:rFonts w:asciiTheme="minorBidi" w:hAnsiTheme="minorBidi"/>
          <w:sz w:val="24"/>
          <w:szCs w:val="24"/>
        </w:rPr>
        <w:t xml:space="preserve"> CKRT </w:t>
      </w:r>
      <w:r w:rsidRPr="00110337">
        <w:rPr>
          <w:rFonts w:asciiTheme="minorBidi" w:hAnsiTheme="minorBidi"/>
          <w:sz w:val="24"/>
          <w:szCs w:val="24"/>
          <w:rtl/>
        </w:rPr>
        <w:t>تقليديًّا عن طريق حساب</w:t>
      </w:r>
      <w:r w:rsidRPr="00110337">
        <w:rPr>
          <w:rFonts w:asciiTheme="minorBidi" w:hAnsiTheme="minorBidi"/>
          <w:sz w:val="24"/>
          <w:szCs w:val="24"/>
        </w:rPr>
        <w:t>:</w:t>
      </w:r>
    </w:p>
    <w:p w14:paraId="7A59BCE9"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الكسر الترشيحي</w:t>
      </w:r>
      <w:r>
        <w:rPr>
          <w:rFonts w:asciiTheme="minorBidi" w:hAnsiTheme="minorBidi" w:hint="cs"/>
          <w:sz w:val="24"/>
          <w:szCs w:val="24"/>
          <w:rtl/>
        </w:rPr>
        <w:t xml:space="preserve"> </w:t>
      </w:r>
      <w:r w:rsidRPr="00110337">
        <w:rPr>
          <w:rFonts w:asciiTheme="minorBidi" w:hAnsiTheme="minorBidi"/>
          <w:sz w:val="24"/>
          <w:szCs w:val="24"/>
        </w:rPr>
        <w:t xml:space="preserve"> (Filtration Fraction, FF)</w:t>
      </w:r>
    </w:p>
    <w:p w14:paraId="5FB12B9B"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وهو نسبة</w:t>
      </w:r>
      <w:r>
        <w:rPr>
          <w:rFonts w:asciiTheme="minorBidi" w:hAnsiTheme="minorBidi" w:hint="cs"/>
          <w:sz w:val="24"/>
          <w:szCs w:val="24"/>
          <w:rtl/>
        </w:rPr>
        <w:t xml:space="preserve"> </w:t>
      </w:r>
      <w:r w:rsidRPr="002D4824">
        <w:rPr>
          <w:rFonts w:asciiTheme="minorBidi" w:hAnsiTheme="minorBidi"/>
          <w:sz w:val="24"/>
          <w:szCs w:val="24"/>
          <w:u w:val="single"/>
          <w:rtl/>
        </w:rPr>
        <w:t>معدل الترشيح الفائق الكلي</w:t>
      </w:r>
      <w:r>
        <w:rPr>
          <w:rFonts w:asciiTheme="minorBidi" w:hAnsiTheme="minorBidi" w:hint="cs"/>
          <w:sz w:val="24"/>
          <w:szCs w:val="24"/>
          <w:rtl/>
        </w:rPr>
        <w:t xml:space="preserve"> </w:t>
      </w:r>
      <w:r w:rsidRPr="00110337">
        <w:rPr>
          <w:rFonts w:asciiTheme="minorBidi" w:hAnsiTheme="minorBidi"/>
          <w:sz w:val="24"/>
          <w:szCs w:val="24"/>
          <w:rtl/>
        </w:rPr>
        <w:t>إلى</w:t>
      </w:r>
      <w:r>
        <w:rPr>
          <w:rFonts w:asciiTheme="minorBidi" w:hAnsiTheme="minorBidi" w:hint="cs"/>
          <w:sz w:val="24"/>
          <w:szCs w:val="24"/>
          <w:rtl/>
        </w:rPr>
        <w:t xml:space="preserve"> </w:t>
      </w:r>
      <w:r w:rsidRPr="002D4824">
        <w:rPr>
          <w:rFonts w:asciiTheme="minorBidi" w:hAnsiTheme="minorBidi"/>
          <w:sz w:val="24"/>
          <w:szCs w:val="24"/>
          <w:u w:val="single"/>
          <w:rtl/>
        </w:rPr>
        <w:t>معدل تدفق ماء البلازما</w:t>
      </w:r>
    </w:p>
    <w:p w14:paraId="2AE2C7FB"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ولتقليل خطر التخثّر، ينبغي الحفاظ على</w:t>
      </w:r>
      <w:r w:rsidRPr="00110337">
        <w:rPr>
          <w:rFonts w:asciiTheme="minorBidi" w:hAnsiTheme="minorBidi"/>
          <w:sz w:val="24"/>
          <w:szCs w:val="24"/>
        </w:rPr>
        <w:t xml:space="preserve"> FF </w:t>
      </w:r>
      <w:r>
        <w:rPr>
          <w:rFonts w:asciiTheme="minorBidi" w:hAnsiTheme="minorBidi" w:hint="cs"/>
          <w:sz w:val="24"/>
          <w:szCs w:val="24"/>
          <w:rtl/>
        </w:rPr>
        <w:t xml:space="preserve">أقل من  </w:t>
      </w:r>
      <w:r w:rsidRPr="00110337">
        <w:rPr>
          <w:rFonts w:asciiTheme="minorBidi" w:hAnsiTheme="minorBidi"/>
          <w:sz w:val="24"/>
          <w:szCs w:val="24"/>
        </w:rPr>
        <w:t>20%–25%</w:t>
      </w:r>
      <w:r>
        <w:rPr>
          <w:rFonts w:asciiTheme="minorBidi" w:hAnsiTheme="minorBidi" w:hint="cs"/>
          <w:sz w:val="24"/>
          <w:szCs w:val="24"/>
          <w:rtl/>
        </w:rPr>
        <w:t xml:space="preserve"> ، أي ما يرشح أقل من ربع الجريان الدموي. </w:t>
      </w:r>
    </w:p>
    <w:p w14:paraId="591EA686"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وذلك إما عن طريق</w:t>
      </w:r>
      <w:r w:rsidRPr="00110337">
        <w:rPr>
          <w:rFonts w:asciiTheme="minorBidi" w:hAnsiTheme="minorBidi"/>
          <w:sz w:val="24"/>
          <w:szCs w:val="24"/>
        </w:rPr>
        <w:t>:</w:t>
      </w:r>
    </w:p>
    <w:p w14:paraId="07E74151"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الحفاظ على معدل تدفق دم</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Pr>
        <w:t xml:space="preserve"> </w:t>
      </w:r>
      <w:r w:rsidRPr="00110337">
        <w:rPr>
          <w:rFonts w:asciiTheme="minorBidi" w:hAnsiTheme="minorBidi"/>
          <w:sz w:val="24"/>
          <w:szCs w:val="24"/>
          <w:rtl/>
        </w:rPr>
        <w:t>مناسب</w:t>
      </w:r>
      <w:r>
        <w:rPr>
          <w:rFonts w:asciiTheme="minorBidi" w:hAnsiTheme="minorBidi" w:hint="cs"/>
          <w:sz w:val="24"/>
          <w:szCs w:val="24"/>
          <w:rtl/>
        </w:rPr>
        <w:t xml:space="preserve"> و أعلى ب 4 أضعاف معدل الرشح. </w:t>
      </w:r>
    </w:p>
    <w:p w14:paraId="4DC183B6"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أو التفضيل النسبي لاستخدام محلول التعويض قبل ال</w:t>
      </w:r>
      <w:r>
        <w:rPr>
          <w:rFonts w:asciiTheme="minorBidi" w:hAnsiTheme="minorBidi" w:hint="cs"/>
          <w:sz w:val="24"/>
          <w:szCs w:val="24"/>
          <w:rtl/>
        </w:rPr>
        <w:t xml:space="preserve">فلتر. </w:t>
      </w:r>
    </w:p>
    <w:p w14:paraId="13E6BB4E"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وقد يكون مضاد التخثر بالسترات</w:t>
      </w:r>
      <w:r w:rsidRPr="00110337">
        <w:rPr>
          <w:rFonts w:asciiTheme="minorBidi" w:hAnsiTheme="minorBidi"/>
          <w:sz w:val="24"/>
          <w:szCs w:val="24"/>
        </w:rPr>
        <w:t xml:space="preserve"> (RCA) </w:t>
      </w:r>
      <w:r w:rsidRPr="00110337">
        <w:rPr>
          <w:rFonts w:asciiTheme="minorBidi" w:hAnsiTheme="minorBidi"/>
          <w:sz w:val="24"/>
          <w:szCs w:val="24"/>
          <w:rtl/>
        </w:rPr>
        <w:t>استثناءً محتملًا، إذ تشير الخبرة السريرية إلى أنه قد يسمح باستخدام قيم أعلى من</w:t>
      </w:r>
      <w:r>
        <w:rPr>
          <w:rFonts w:asciiTheme="minorBidi" w:hAnsiTheme="minorBidi" w:hint="cs"/>
          <w:sz w:val="24"/>
          <w:szCs w:val="24"/>
          <w:rtl/>
        </w:rPr>
        <w:t xml:space="preserve"> </w:t>
      </w:r>
      <w:r w:rsidRPr="00110337">
        <w:rPr>
          <w:rFonts w:asciiTheme="minorBidi" w:hAnsiTheme="minorBidi"/>
          <w:sz w:val="24"/>
          <w:szCs w:val="24"/>
        </w:rPr>
        <w:t xml:space="preserve"> FF</w:t>
      </w:r>
    </w:p>
    <w:p w14:paraId="15AC5F2E" w14:textId="77777777" w:rsidR="00E7037A" w:rsidRDefault="00E7037A" w:rsidP="00E7037A">
      <w:pPr>
        <w:bidi/>
        <w:spacing w:after="0"/>
        <w:rPr>
          <w:rFonts w:asciiTheme="minorBidi" w:hAnsiTheme="minorBidi"/>
          <w:sz w:val="24"/>
          <w:szCs w:val="24"/>
          <w:rtl/>
        </w:rPr>
      </w:pPr>
    </w:p>
    <w:p w14:paraId="10CC11E6" w14:textId="77777777" w:rsidR="00E7037A" w:rsidRPr="002D4824" w:rsidRDefault="00E7037A" w:rsidP="00E7037A">
      <w:pPr>
        <w:bidi/>
        <w:spacing w:after="0"/>
        <w:rPr>
          <w:rFonts w:asciiTheme="minorBidi" w:hAnsiTheme="minorBidi"/>
          <w:b/>
          <w:bCs/>
          <w:sz w:val="24"/>
          <w:szCs w:val="24"/>
          <w:rtl/>
        </w:rPr>
      </w:pPr>
      <w:r w:rsidRPr="002D4824">
        <w:rPr>
          <w:rFonts w:asciiTheme="minorBidi" w:hAnsiTheme="minorBidi"/>
          <w:b/>
          <w:bCs/>
          <w:sz w:val="24"/>
          <w:szCs w:val="24"/>
          <w:rtl/>
        </w:rPr>
        <w:t xml:space="preserve">التعويض قبل </w:t>
      </w:r>
      <w:r w:rsidRPr="002D4824">
        <w:rPr>
          <w:rFonts w:asciiTheme="minorBidi" w:hAnsiTheme="minorBidi" w:hint="cs"/>
          <w:b/>
          <w:bCs/>
          <w:sz w:val="24"/>
          <w:szCs w:val="24"/>
          <w:rtl/>
        </w:rPr>
        <w:t xml:space="preserve">الفلتر </w:t>
      </w:r>
      <w:r w:rsidRPr="002D4824">
        <w:rPr>
          <w:rFonts w:asciiTheme="minorBidi" w:hAnsiTheme="minorBidi"/>
          <w:b/>
          <w:bCs/>
          <w:sz w:val="24"/>
          <w:szCs w:val="24"/>
        </w:rPr>
        <w:t xml:space="preserve"> Predilution</w:t>
      </w:r>
    </w:p>
    <w:p w14:paraId="7FD76224"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 xml:space="preserve">عند إعطاء محلول التعويض قبل </w:t>
      </w:r>
      <w:r>
        <w:rPr>
          <w:rFonts w:asciiTheme="minorBidi" w:hAnsiTheme="minorBidi" w:hint="cs"/>
          <w:sz w:val="24"/>
          <w:szCs w:val="24"/>
          <w:rtl/>
        </w:rPr>
        <w:t>الفلتر</w:t>
      </w:r>
      <w:r w:rsidRPr="00110337">
        <w:rPr>
          <w:rFonts w:asciiTheme="minorBidi" w:hAnsiTheme="minorBidi"/>
          <w:sz w:val="24"/>
          <w:szCs w:val="24"/>
          <w:rtl/>
        </w:rPr>
        <w:t>، أي بطريقة</w:t>
      </w:r>
      <w:r>
        <w:rPr>
          <w:rFonts w:asciiTheme="minorBidi" w:hAnsiTheme="minorBidi" w:hint="cs"/>
          <w:sz w:val="24"/>
          <w:szCs w:val="24"/>
          <w:rtl/>
        </w:rPr>
        <w:t xml:space="preserve"> </w:t>
      </w:r>
      <w:r w:rsidRPr="00110337">
        <w:rPr>
          <w:rFonts w:asciiTheme="minorBidi" w:hAnsiTheme="minorBidi"/>
          <w:sz w:val="24"/>
          <w:szCs w:val="24"/>
        </w:rPr>
        <w:t>Predilution</w:t>
      </w:r>
      <w:r>
        <w:rPr>
          <w:rFonts w:asciiTheme="minorBidi" w:hAnsiTheme="minorBidi" w:hint="cs"/>
          <w:sz w:val="24"/>
          <w:szCs w:val="24"/>
          <w:rtl/>
        </w:rPr>
        <w:t xml:space="preserve"> </w:t>
      </w:r>
      <w:r w:rsidRPr="00110337">
        <w:rPr>
          <w:rFonts w:asciiTheme="minorBidi" w:hAnsiTheme="minorBidi"/>
          <w:sz w:val="24"/>
          <w:szCs w:val="24"/>
          <w:rtl/>
        </w:rPr>
        <w:t xml:space="preserve">يكون عمر </w:t>
      </w:r>
      <w:r>
        <w:rPr>
          <w:rFonts w:asciiTheme="minorBidi" w:hAnsiTheme="minorBidi" w:hint="cs"/>
          <w:sz w:val="24"/>
          <w:szCs w:val="24"/>
          <w:rtl/>
        </w:rPr>
        <w:t>الفلتر</w:t>
      </w:r>
      <w:r w:rsidRPr="00110337">
        <w:rPr>
          <w:rFonts w:asciiTheme="minorBidi" w:hAnsiTheme="minorBidi"/>
          <w:sz w:val="24"/>
          <w:szCs w:val="24"/>
          <w:rtl/>
        </w:rPr>
        <w:t xml:space="preserve"> أطول؛ لأن ماء البلازما يُخفف قبل الترشيح الفائق، مما يقلّل</w:t>
      </w:r>
      <w:r>
        <w:rPr>
          <w:rFonts w:asciiTheme="minorBidi" w:hAnsiTheme="minorBidi" w:hint="cs"/>
          <w:sz w:val="24"/>
          <w:szCs w:val="24"/>
          <w:rtl/>
        </w:rPr>
        <w:t xml:space="preserve"> الـ </w:t>
      </w:r>
      <w:r w:rsidRPr="00110337">
        <w:rPr>
          <w:rFonts w:asciiTheme="minorBidi" w:hAnsiTheme="minorBidi"/>
          <w:sz w:val="24"/>
          <w:szCs w:val="24"/>
        </w:rPr>
        <w:t xml:space="preserve"> FF</w:t>
      </w:r>
      <w:r>
        <w:rPr>
          <w:rFonts w:asciiTheme="minorBidi" w:hAnsiTheme="minorBidi" w:hint="cs"/>
          <w:sz w:val="24"/>
          <w:szCs w:val="24"/>
          <w:rtl/>
        </w:rPr>
        <w:t xml:space="preserve">كما ذكر أعلاه. </w:t>
      </w:r>
    </w:p>
    <w:p w14:paraId="04DD0B1F"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 xml:space="preserve">لكن في المقابل، يُخفَّف تركيز </w:t>
      </w:r>
      <w:r>
        <w:rPr>
          <w:rFonts w:asciiTheme="minorBidi" w:hAnsiTheme="minorBidi" w:hint="cs"/>
          <w:sz w:val="24"/>
          <w:szCs w:val="24"/>
          <w:rtl/>
        </w:rPr>
        <w:t>المواد المذابة</w:t>
      </w:r>
      <w:r w:rsidRPr="00110337">
        <w:rPr>
          <w:rFonts w:asciiTheme="minorBidi" w:hAnsiTheme="minorBidi"/>
          <w:sz w:val="24"/>
          <w:szCs w:val="24"/>
          <w:rtl/>
        </w:rPr>
        <w:t xml:space="preserve"> قبل دخول الدم إلى </w:t>
      </w:r>
      <w:r>
        <w:rPr>
          <w:rFonts w:asciiTheme="minorBidi" w:hAnsiTheme="minorBidi" w:hint="cs"/>
          <w:sz w:val="24"/>
          <w:szCs w:val="24"/>
          <w:rtl/>
        </w:rPr>
        <w:t xml:space="preserve">الفلتر </w:t>
      </w:r>
      <w:r w:rsidRPr="00110337">
        <w:rPr>
          <w:rFonts w:asciiTheme="minorBidi" w:hAnsiTheme="minorBidi"/>
          <w:sz w:val="24"/>
          <w:szCs w:val="24"/>
          <w:rtl/>
        </w:rPr>
        <w:t>، ما يؤدي إلى انخفاض التصفية بدرجة معينة</w:t>
      </w:r>
      <w:r w:rsidRPr="00110337">
        <w:rPr>
          <w:rFonts w:asciiTheme="minorBidi" w:hAnsiTheme="minorBidi"/>
          <w:sz w:val="24"/>
          <w:szCs w:val="24"/>
        </w:rPr>
        <w:t>.</w:t>
      </w:r>
    </w:p>
    <w:p w14:paraId="2F006A79"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ويمكن تقدير مقدار هذا التأثير من خلال حساب</w:t>
      </w:r>
      <w:r>
        <w:rPr>
          <w:rFonts w:asciiTheme="minorBidi" w:hAnsiTheme="minorBidi" w:hint="cs"/>
          <w:sz w:val="24"/>
          <w:szCs w:val="24"/>
          <w:rtl/>
        </w:rPr>
        <w:t xml:space="preserve"> </w:t>
      </w:r>
      <w:r w:rsidRPr="00110337">
        <w:rPr>
          <w:rFonts w:asciiTheme="minorBidi" w:hAnsiTheme="minorBidi"/>
          <w:sz w:val="24"/>
          <w:szCs w:val="24"/>
          <w:rtl/>
        </w:rPr>
        <w:t>عامل التخفيف</w:t>
      </w:r>
      <w:r>
        <w:rPr>
          <w:rFonts w:asciiTheme="minorBidi" w:hAnsiTheme="minorBidi" w:hint="cs"/>
          <w:sz w:val="24"/>
          <w:szCs w:val="24"/>
          <w:rtl/>
        </w:rPr>
        <w:t xml:space="preserve"> </w:t>
      </w:r>
      <w:r w:rsidRPr="00110337">
        <w:rPr>
          <w:rFonts w:asciiTheme="minorBidi" w:hAnsiTheme="minorBidi"/>
          <w:sz w:val="24"/>
          <w:szCs w:val="24"/>
        </w:rPr>
        <w:t xml:space="preserve"> (Dilution factor)</w:t>
      </w:r>
    </w:p>
    <w:p w14:paraId="3E015F00" w14:textId="77777777" w:rsidR="00E7037A" w:rsidRPr="00110337" w:rsidRDefault="00E7037A" w:rsidP="00E7037A">
      <w:pPr>
        <w:bidi/>
        <w:spacing w:after="0"/>
        <w:rPr>
          <w:rFonts w:asciiTheme="minorBidi" w:hAnsiTheme="minorBidi"/>
          <w:sz w:val="24"/>
          <w:szCs w:val="24"/>
        </w:rPr>
      </w:pPr>
      <w:r w:rsidRPr="00110337">
        <w:rPr>
          <w:rFonts w:asciiTheme="minorBidi" w:hAnsiTheme="minorBidi"/>
          <w:sz w:val="24"/>
          <w:szCs w:val="24"/>
          <w:rtl/>
        </w:rPr>
        <w:t>ومن الجدير بالذكر أن</w:t>
      </w:r>
      <w:r w:rsidRPr="00110337">
        <w:rPr>
          <w:rFonts w:asciiTheme="minorBidi" w:hAnsiTheme="minorBidi"/>
          <w:sz w:val="24"/>
          <w:szCs w:val="24"/>
        </w:rPr>
        <w:t xml:space="preserve"> FF </w:t>
      </w:r>
      <w:r w:rsidRPr="00110337">
        <w:rPr>
          <w:rFonts w:asciiTheme="minorBidi" w:hAnsiTheme="minorBidi"/>
          <w:sz w:val="24"/>
          <w:szCs w:val="24"/>
          <w:rtl/>
        </w:rPr>
        <w:t>يكون في أدنى مستوياته عند استخدام</w:t>
      </w:r>
      <w:r>
        <w:rPr>
          <w:rFonts w:asciiTheme="minorBidi" w:hAnsiTheme="minorBidi" w:hint="cs"/>
          <w:sz w:val="24"/>
          <w:szCs w:val="24"/>
          <w:rtl/>
        </w:rPr>
        <w:t xml:space="preserve"> </w:t>
      </w:r>
      <w:r w:rsidRPr="00110337">
        <w:rPr>
          <w:rFonts w:asciiTheme="minorBidi" w:hAnsiTheme="minorBidi"/>
          <w:sz w:val="24"/>
          <w:szCs w:val="24"/>
        </w:rPr>
        <w:t>CVVHD</w:t>
      </w:r>
    </w:p>
    <w:p w14:paraId="55A661EF"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كما تشير بيانات رصدية وبيانات شبه عشوائية إلى أن</w:t>
      </w:r>
      <w:r w:rsidRPr="00110337">
        <w:rPr>
          <w:rFonts w:asciiTheme="minorBidi" w:hAnsiTheme="minorBidi"/>
          <w:sz w:val="24"/>
          <w:szCs w:val="24"/>
        </w:rPr>
        <w:t xml:space="preserve"> CVVHD </w:t>
      </w:r>
      <w:r w:rsidRPr="00110337">
        <w:rPr>
          <w:rFonts w:asciiTheme="minorBidi" w:hAnsiTheme="minorBidi"/>
          <w:sz w:val="24"/>
          <w:szCs w:val="24"/>
          <w:rtl/>
        </w:rPr>
        <w:t>قد يؤدي إلى عمر أطول للمرشح مقارنةً بـ</w:t>
      </w:r>
      <w:r w:rsidRPr="00110337">
        <w:rPr>
          <w:rFonts w:asciiTheme="minorBidi" w:hAnsiTheme="minorBidi"/>
          <w:sz w:val="24"/>
          <w:szCs w:val="24"/>
        </w:rPr>
        <w:t xml:space="preserve"> CVVH </w:t>
      </w:r>
      <w:r w:rsidRPr="00110337">
        <w:rPr>
          <w:rFonts w:asciiTheme="minorBidi" w:hAnsiTheme="minorBidi"/>
          <w:sz w:val="24"/>
          <w:szCs w:val="24"/>
          <w:rtl/>
        </w:rPr>
        <w:t>مع محلول تعويض قبل المرشح</w:t>
      </w:r>
      <w:r>
        <w:rPr>
          <w:rFonts w:asciiTheme="minorBidi" w:hAnsiTheme="minorBidi" w:hint="cs"/>
          <w:sz w:val="24"/>
          <w:szCs w:val="24"/>
          <w:rtl/>
        </w:rPr>
        <w:t>.</w:t>
      </w:r>
    </w:p>
    <w:p w14:paraId="6B07ECFB" w14:textId="77777777" w:rsidR="00E7037A" w:rsidRDefault="00E7037A" w:rsidP="00E7037A">
      <w:pPr>
        <w:bidi/>
        <w:spacing w:after="0"/>
        <w:rPr>
          <w:rFonts w:asciiTheme="minorBidi" w:hAnsiTheme="minorBidi"/>
          <w:sz w:val="24"/>
          <w:szCs w:val="24"/>
          <w:rtl/>
        </w:rPr>
      </w:pPr>
    </w:p>
    <w:p w14:paraId="2A1B4D40" w14:textId="77777777" w:rsidR="00E7037A" w:rsidRPr="002D4824" w:rsidRDefault="00E7037A" w:rsidP="00E7037A">
      <w:pPr>
        <w:bidi/>
        <w:spacing w:after="0"/>
        <w:rPr>
          <w:rFonts w:asciiTheme="minorBidi" w:hAnsiTheme="minorBidi"/>
          <w:b/>
          <w:bCs/>
          <w:sz w:val="24"/>
          <w:szCs w:val="24"/>
          <w:rtl/>
        </w:rPr>
      </w:pPr>
      <w:r w:rsidRPr="002D4824">
        <w:rPr>
          <w:rFonts w:asciiTheme="minorBidi" w:hAnsiTheme="minorBidi"/>
          <w:b/>
          <w:bCs/>
          <w:sz w:val="24"/>
          <w:szCs w:val="24"/>
          <w:rtl/>
        </w:rPr>
        <w:t xml:space="preserve">الهيماتوكريت بعد </w:t>
      </w:r>
      <w:r>
        <w:rPr>
          <w:rFonts w:asciiTheme="minorBidi" w:hAnsiTheme="minorBidi" w:hint="cs"/>
          <w:b/>
          <w:bCs/>
          <w:sz w:val="24"/>
          <w:szCs w:val="24"/>
          <w:rtl/>
        </w:rPr>
        <w:t>الفلتر</w:t>
      </w:r>
      <w:r w:rsidRPr="002D4824">
        <w:rPr>
          <w:rFonts w:asciiTheme="minorBidi" w:hAnsiTheme="minorBidi"/>
          <w:b/>
          <w:bCs/>
          <w:sz w:val="24"/>
          <w:szCs w:val="24"/>
          <w:rtl/>
        </w:rPr>
        <w:t xml:space="preserve"> كمؤشر بديل</w:t>
      </w:r>
    </w:p>
    <w:p w14:paraId="746F51A9"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على الرغم من أن</w:t>
      </w:r>
      <w:r w:rsidRPr="00110337">
        <w:rPr>
          <w:rFonts w:asciiTheme="minorBidi" w:hAnsiTheme="minorBidi"/>
          <w:sz w:val="24"/>
          <w:szCs w:val="24"/>
        </w:rPr>
        <w:t xml:space="preserve"> FF </w:t>
      </w:r>
      <w:r w:rsidRPr="00110337">
        <w:rPr>
          <w:rFonts w:asciiTheme="minorBidi" w:hAnsiTheme="minorBidi"/>
          <w:sz w:val="24"/>
          <w:szCs w:val="24"/>
          <w:rtl/>
        </w:rPr>
        <w:t xml:space="preserve">هو المؤشر التقليدي المستخدم لوصف تأثير تركيز الدم على خطر تخثّر </w:t>
      </w:r>
      <w:r>
        <w:rPr>
          <w:rFonts w:asciiTheme="minorBidi" w:hAnsiTheme="minorBidi" w:hint="cs"/>
          <w:sz w:val="24"/>
          <w:szCs w:val="24"/>
          <w:rtl/>
        </w:rPr>
        <w:t>الفلتر</w:t>
      </w:r>
      <w:r w:rsidRPr="00110337">
        <w:rPr>
          <w:rFonts w:asciiTheme="minorBidi" w:hAnsiTheme="minorBidi"/>
          <w:sz w:val="24"/>
          <w:szCs w:val="24"/>
          <w:rtl/>
        </w:rPr>
        <w:t>، فقد طُرح حديثًا</w:t>
      </w:r>
      <w:r w:rsidRPr="00110337">
        <w:rPr>
          <w:rFonts w:asciiTheme="minorBidi" w:hAnsiTheme="minorBidi"/>
          <w:sz w:val="24"/>
          <w:szCs w:val="24"/>
        </w:rPr>
        <w:t>:</w:t>
      </w:r>
    </w:p>
    <w:p w14:paraId="6D9CB02F"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الهيماتوكريت بعد المرشح</w:t>
      </w:r>
      <w:r>
        <w:rPr>
          <w:rFonts w:asciiTheme="minorBidi" w:hAnsiTheme="minorBidi" w:hint="cs"/>
          <w:sz w:val="24"/>
          <w:szCs w:val="24"/>
          <w:rtl/>
        </w:rPr>
        <w:t xml:space="preserve"> </w:t>
      </w:r>
      <w:r w:rsidRPr="00110337">
        <w:rPr>
          <w:rFonts w:asciiTheme="minorBidi" w:hAnsiTheme="minorBidi"/>
          <w:sz w:val="24"/>
          <w:szCs w:val="24"/>
        </w:rPr>
        <w:t xml:space="preserve"> (Postfilter hematocrit)</w:t>
      </w:r>
      <w:r w:rsidRPr="00110337">
        <w:rPr>
          <w:rFonts w:asciiTheme="minorBidi" w:hAnsiTheme="minorBidi"/>
          <w:sz w:val="24"/>
          <w:szCs w:val="24"/>
          <w:rtl/>
        </w:rPr>
        <w:t>بوصفه مقياسًا بديلًا للتنبؤ بخطر التخثّر</w:t>
      </w:r>
      <w:r w:rsidRPr="00110337">
        <w:rPr>
          <w:rFonts w:asciiTheme="minorBidi" w:hAnsiTheme="minorBidi"/>
          <w:sz w:val="24"/>
          <w:szCs w:val="24"/>
        </w:rPr>
        <w:t>.</w:t>
      </w:r>
    </w:p>
    <w:p w14:paraId="2F1FFB94"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إلا أن البيانات المتاحة لإثبات تفوّق أي من المؤشرين على الآخر ما تزال محدودة</w:t>
      </w:r>
      <w:r w:rsidRPr="00110337">
        <w:rPr>
          <w:rFonts w:asciiTheme="minorBidi" w:hAnsiTheme="minorBidi"/>
          <w:sz w:val="24"/>
          <w:szCs w:val="24"/>
        </w:rPr>
        <w:t>.</w:t>
      </w:r>
    </w:p>
    <w:p w14:paraId="79032405" w14:textId="77777777" w:rsidR="00E7037A" w:rsidRDefault="00E7037A" w:rsidP="00E7037A">
      <w:pPr>
        <w:bidi/>
        <w:spacing w:after="0"/>
        <w:rPr>
          <w:rFonts w:asciiTheme="minorBidi" w:hAnsiTheme="minorBidi"/>
          <w:sz w:val="24"/>
          <w:szCs w:val="24"/>
          <w:rtl/>
        </w:rPr>
      </w:pPr>
    </w:p>
    <w:p w14:paraId="0889CA0F" w14:textId="77777777" w:rsidR="00E7037A" w:rsidRPr="002D4824" w:rsidRDefault="00E7037A" w:rsidP="00E7037A">
      <w:pPr>
        <w:bidi/>
        <w:spacing w:after="0"/>
        <w:rPr>
          <w:rFonts w:asciiTheme="minorBidi" w:hAnsiTheme="minorBidi"/>
          <w:b/>
          <w:bCs/>
          <w:sz w:val="24"/>
          <w:szCs w:val="24"/>
          <w:rtl/>
        </w:rPr>
      </w:pPr>
      <w:r w:rsidRPr="002D4824">
        <w:rPr>
          <w:rFonts w:asciiTheme="minorBidi" w:hAnsiTheme="minorBidi"/>
          <w:b/>
          <w:bCs/>
          <w:sz w:val="24"/>
          <w:szCs w:val="24"/>
          <w:rtl/>
        </w:rPr>
        <w:t>إعادة تقييم جرعة</w:t>
      </w:r>
      <w:r w:rsidRPr="002D4824">
        <w:rPr>
          <w:rFonts w:asciiTheme="minorBidi" w:hAnsiTheme="minorBidi" w:hint="cs"/>
          <w:b/>
          <w:bCs/>
          <w:sz w:val="24"/>
          <w:szCs w:val="24"/>
          <w:rtl/>
        </w:rPr>
        <w:t xml:space="preserve"> </w:t>
      </w:r>
      <w:r w:rsidRPr="002D4824">
        <w:rPr>
          <w:rFonts w:asciiTheme="minorBidi" w:hAnsiTheme="minorBidi"/>
          <w:b/>
          <w:bCs/>
          <w:sz w:val="24"/>
          <w:szCs w:val="24"/>
        </w:rPr>
        <w:t xml:space="preserve"> CKRT</w:t>
      </w:r>
    </w:p>
    <w:p w14:paraId="291946D7"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على الرغم من أن إعطاء</w:t>
      </w:r>
      <w:r>
        <w:rPr>
          <w:rFonts w:asciiTheme="minorBidi" w:hAnsiTheme="minorBidi" w:hint="cs"/>
          <w:sz w:val="24"/>
          <w:szCs w:val="24"/>
          <w:rtl/>
        </w:rPr>
        <w:t xml:space="preserve"> </w:t>
      </w:r>
      <w:r w:rsidRPr="00110337">
        <w:rPr>
          <w:rFonts w:asciiTheme="minorBidi" w:hAnsiTheme="minorBidi"/>
          <w:sz w:val="24"/>
          <w:szCs w:val="24"/>
        </w:rPr>
        <w:t>20–25</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مل/كغ/ساعة</w:t>
      </w:r>
      <w:r>
        <w:rPr>
          <w:rFonts w:asciiTheme="minorBidi" w:hAnsiTheme="minorBidi" w:hint="cs"/>
          <w:sz w:val="24"/>
          <w:szCs w:val="24"/>
          <w:rtl/>
        </w:rPr>
        <w:t xml:space="preserve"> ، </w:t>
      </w:r>
      <w:r w:rsidRPr="00110337">
        <w:rPr>
          <w:rFonts w:asciiTheme="minorBidi" w:hAnsiTheme="minorBidi"/>
          <w:sz w:val="24"/>
          <w:szCs w:val="24"/>
          <w:rtl/>
        </w:rPr>
        <w:t>مناسب لمعظم المرضى الذين يُعالجون بـ</w:t>
      </w:r>
      <w:r w:rsidRPr="00110337">
        <w:rPr>
          <w:rFonts w:asciiTheme="minorBidi" w:hAnsiTheme="minorBidi"/>
          <w:sz w:val="24"/>
          <w:szCs w:val="24"/>
        </w:rPr>
        <w:t xml:space="preserve"> CKRT </w:t>
      </w:r>
      <w:r w:rsidRPr="00110337">
        <w:rPr>
          <w:rFonts w:asciiTheme="minorBidi" w:hAnsiTheme="minorBidi"/>
          <w:sz w:val="24"/>
          <w:szCs w:val="24"/>
          <w:rtl/>
        </w:rPr>
        <w:t>في معظم الظروف، ينبغي إعادة تقييم الجرعة بصورة متكررة، لأن الحالات الحرجة تتغير ديناميكيًّا مع الوقت</w:t>
      </w:r>
      <w:r w:rsidRPr="00110337">
        <w:rPr>
          <w:rFonts w:asciiTheme="minorBidi" w:hAnsiTheme="minorBidi"/>
          <w:sz w:val="24"/>
          <w:szCs w:val="24"/>
        </w:rPr>
        <w:t>.</w:t>
      </w:r>
    </w:p>
    <w:p w14:paraId="49BF7215"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lastRenderedPageBreak/>
        <w:t>وفي بعض الحالات، قد تصبح جرعات</w:t>
      </w:r>
      <w:r>
        <w:rPr>
          <w:rFonts w:asciiTheme="minorBidi" w:hAnsiTheme="minorBidi" w:hint="cs"/>
          <w:sz w:val="24"/>
          <w:szCs w:val="24"/>
          <w:rtl/>
        </w:rPr>
        <w:t xml:space="preserve"> أعلى من </w:t>
      </w:r>
      <w:r w:rsidRPr="00110337">
        <w:rPr>
          <w:rFonts w:asciiTheme="minorBidi" w:hAnsiTheme="minorBidi"/>
          <w:sz w:val="24"/>
          <w:szCs w:val="24"/>
        </w:rPr>
        <w:t>25</w:t>
      </w:r>
      <w:r>
        <w:rPr>
          <w:rFonts w:asciiTheme="minorBidi" w:hAnsiTheme="minorBidi" w:hint="cs"/>
          <w:sz w:val="24"/>
          <w:szCs w:val="24"/>
          <w:rtl/>
        </w:rPr>
        <w:t xml:space="preserve"> </w:t>
      </w:r>
      <w:r w:rsidRPr="00110337">
        <w:rPr>
          <w:rFonts w:asciiTheme="minorBidi" w:hAnsiTheme="minorBidi"/>
          <w:sz w:val="24"/>
          <w:szCs w:val="24"/>
          <w:rtl/>
        </w:rPr>
        <w:t>مل/كغ/ساعة</w:t>
      </w:r>
      <w:r>
        <w:rPr>
          <w:rFonts w:asciiTheme="minorBidi" w:hAnsiTheme="minorBidi" w:hint="cs"/>
          <w:sz w:val="24"/>
          <w:szCs w:val="24"/>
          <w:rtl/>
        </w:rPr>
        <w:t xml:space="preserve"> </w:t>
      </w:r>
      <w:r w:rsidRPr="00110337">
        <w:rPr>
          <w:rFonts w:asciiTheme="minorBidi" w:hAnsiTheme="minorBidi"/>
          <w:sz w:val="24"/>
          <w:szCs w:val="24"/>
          <w:rtl/>
        </w:rPr>
        <w:t>ضرورية</w:t>
      </w:r>
      <w:r>
        <w:rPr>
          <w:rFonts w:asciiTheme="minorBidi" w:hAnsiTheme="minorBidi" w:hint="cs"/>
          <w:sz w:val="24"/>
          <w:szCs w:val="24"/>
          <w:rtl/>
        </w:rPr>
        <w:t>.</w:t>
      </w:r>
    </w:p>
    <w:p w14:paraId="50887083"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ومن الأمثلة على ذلك</w:t>
      </w:r>
      <w:r w:rsidRPr="00110337">
        <w:rPr>
          <w:rFonts w:asciiTheme="minorBidi" w:hAnsiTheme="minorBidi"/>
          <w:sz w:val="24"/>
          <w:szCs w:val="24"/>
        </w:rPr>
        <w:t>:</w:t>
      </w:r>
    </w:p>
    <w:p w14:paraId="1D51261D"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ـ ا</w:t>
      </w:r>
      <w:r w:rsidRPr="00110337">
        <w:rPr>
          <w:rFonts w:asciiTheme="minorBidi" w:hAnsiTheme="minorBidi"/>
          <w:sz w:val="24"/>
          <w:szCs w:val="24"/>
          <w:rtl/>
        </w:rPr>
        <w:t xml:space="preserve">نحلال </w:t>
      </w:r>
      <w:r>
        <w:rPr>
          <w:rFonts w:asciiTheme="minorBidi" w:hAnsiTheme="minorBidi" w:hint="cs"/>
          <w:sz w:val="24"/>
          <w:szCs w:val="24"/>
          <w:rtl/>
        </w:rPr>
        <w:t xml:space="preserve">العضلات المخططة </w:t>
      </w:r>
      <w:r w:rsidRPr="00110337">
        <w:rPr>
          <w:rFonts w:asciiTheme="minorBidi" w:hAnsiTheme="minorBidi"/>
          <w:sz w:val="24"/>
          <w:szCs w:val="24"/>
        </w:rPr>
        <w:t xml:space="preserve"> (Rhabdomyolysis)</w:t>
      </w:r>
    </w:p>
    <w:p w14:paraId="4D2FD5D0"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متلازمة انحلال الورم</w:t>
      </w:r>
      <w:r>
        <w:rPr>
          <w:rFonts w:asciiTheme="minorBidi" w:hAnsiTheme="minorBidi" w:hint="cs"/>
          <w:sz w:val="24"/>
          <w:szCs w:val="24"/>
          <w:rtl/>
        </w:rPr>
        <w:t xml:space="preserve"> </w:t>
      </w:r>
      <w:r w:rsidRPr="00110337">
        <w:rPr>
          <w:rFonts w:asciiTheme="minorBidi" w:hAnsiTheme="minorBidi"/>
          <w:sz w:val="24"/>
          <w:szCs w:val="24"/>
        </w:rPr>
        <w:t xml:space="preserve"> (Tumor Lysis Syndrome)</w:t>
      </w:r>
    </w:p>
    <w:p w14:paraId="3F2A7E01"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في هذه الحالات، يتفاقم نقص تصفية البوتاسيوم الناجم عن</w:t>
      </w:r>
      <w:r w:rsidRPr="00110337">
        <w:rPr>
          <w:rFonts w:asciiTheme="minorBidi" w:hAnsiTheme="minorBidi"/>
          <w:sz w:val="24"/>
          <w:szCs w:val="24"/>
        </w:rPr>
        <w:t xml:space="preserve"> AKI </w:t>
      </w:r>
      <w:r w:rsidRPr="00110337">
        <w:rPr>
          <w:rFonts w:asciiTheme="minorBidi" w:hAnsiTheme="minorBidi"/>
          <w:sz w:val="24"/>
          <w:szCs w:val="24"/>
          <w:rtl/>
        </w:rPr>
        <w:t>بسبب تحرر كميات كبيرة جدًّا من البوتاسيوم إلى الدورة الدموية</w:t>
      </w:r>
      <w:r>
        <w:rPr>
          <w:rFonts w:asciiTheme="minorBidi" w:hAnsiTheme="minorBidi" w:hint="cs"/>
          <w:sz w:val="24"/>
          <w:szCs w:val="24"/>
          <w:rtl/>
        </w:rPr>
        <w:t xml:space="preserve"> ، </w:t>
      </w:r>
      <w:r w:rsidRPr="00110337">
        <w:rPr>
          <w:rFonts w:asciiTheme="minorBidi" w:hAnsiTheme="minorBidi"/>
          <w:sz w:val="24"/>
          <w:szCs w:val="24"/>
          <w:rtl/>
        </w:rPr>
        <w:t>وقد تكون هناك حاجة إلى جرعات</w:t>
      </w:r>
      <w:r w:rsidRPr="00110337">
        <w:rPr>
          <w:rFonts w:asciiTheme="minorBidi" w:hAnsiTheme="minorBidi"/>
          <w:sz w:val="24"/>
          <w:szCs w:val="24"/>
        </w:rPr>
        <w:t xml:space="preserve"> CKRT </w:t>
      </w:r>
      <w:r w:rsidRPr="00110337">
        <w:rPr>
          <w:rFonts w:asciiTheme="minorBidi" w:hAnsiTheme="minorBidi"/>
          <w:sz w:val="24"/>
          <w:szCs w:val="24"/>
          <w:rtl/>
        </w:rPr>
        <w:t>تصل إلى</w:t>
      </w:r>
      <w:r>
        <w:rPr>
          <w:rFonts w:asciiTheme="minorBidi" w:hAnsiTheme="minorBidi" w:hint="cs"/>
          <w:sz w:val="24"/>
          <w:szCs w:val="24"/>
          <w:rtl/>
        </w:rPr>
        <w:t xml:space="preserve"> أكثر من </w:t>
      </w:r>
      <w:r w:rsidRPr="00110337">
        <w:rPr>
          <w:rFonts w:asciiTheme="minorBidi" w:hAnsiTheme="minorBidi"/>
          <w:sz w:val="24"/>
          <w:szCs w:val="24"/>
        </w:rPr>
        <w:t>40</w:t>
      </w:r>
      <w:r>
        <w:rPr>
          <w:rFonts w:asciiTheme="minorBidi" w:hAnsiTheme="minorBidi" w:hint="cs"/>
          <w:sz w:val="24"/>
          <w:szCs w:val="24"/>
          <w:rtl/>
        </w:rPr>
        <w:t xml:space="preserve"> </w:t>
      </w:r>
      <w:r w:rsidRPr="00110337">
        <w:rPr>
          <w:rFonts w:asciiTheme="minorBidi" w:hAnsiTheme="minorBidi"/>
          <w:sz w:val="24"/>
          <w:szCs w:val="24"/>
          <w:rtl/>
        </w:rPr>
        <w:t>مل/كغ/ساعة</w:t>
      </w:r>
      <w:r>
        <w:rPr>
          <w:rFonts w:asciiTheme="minorBidi" w:hAnsiTheme="minorBidi" w:hint="cs"/>
          <w:sz w:val="24"/>
          <w:szCs w:val="24"/>
          <w:rtl/>
        </w:rPr>
        <w:t xml:space="preserve"> </w:t>
      </w:r>
      <w:r w:rsidRPr="00110337">
        <w:rPr>
          <w:rFonts w:asciiTheme="minorBidi" w:hAnsiTheme="minorBidi"/>
          <w:sz w:val="24"/>
          <w:szCs w:val="24"/>
          <w:rtl/>
        </w:rPr>
        <w:t>للمحافظة على السيطرة الاستقلابية</w:t>
      </w:r>
      <w:r>
        <w:rPr>
          <w:rFonts w:asciiTheme="minorBidi" w:hAnsiTheme="minorBidi" w:hint="cs"/>
          <w:sz w:val="24"/>
          <w:szCs w:val="24"/>
          <w:rtl/>
        </w:rPr>
        <w:t>.</w:t>
      </w:r>
    </w:p>
    <w:p w14:paraId="5C30C65A" w14:textId="77777777" w:rsidR="00E7037A" w:rsidRDefault="00E7037A" w:rsidP="00E7037A">
      <w:pPr>
        <w:bidi/>
        <w:spacing w:after="0"/>
        <w:rPr>
          <w:rFonts w:asciiTheme="minorBidi" w:hAnsiTheme="minorBidi"/>
          <w:sz w:val="24"/>
          <w:szCs w:val="24"/>
          <w:rtl/>
        </w:rPr>
      </w:pPr>
    </w:p>
    <w:p w14:paraId="56364A4E" w14:textId="77777777" w:rsidR="00E7037A" w:rsidRPr="00B114C2" w:rsidRDefault="00E7037A" w:rsidP="00E7037A">
      <w:pPr>
        <w:bidi/>
        <w:spacing w:after="0"/>
        <w:rPr>
          <w:rFonts w:asciiTheme="minorBidi" w:hAnsiTheme="minorBidi"/>
          <w:b/>
          <w:bCs/>
          <w:sz w:val="24"/>
          <w:szCs w:val="24"/>
          <w:rtl/>
        </w:rPr>
      </w:pPr>
      <w:r w:rsidRPr="00B114C2">
        <w:rPr>
          <w:rFonts w:asciiTheme="minorBidi" w:hAnsiTheme="minorBidi"/>
          <w:b/>
          <w:bCs/>
          <w:sz w:val="24"/>
          <w:szCs w:val="24"/>
          <w:rtl/>
        </w:rPr>
        <w:t>الجمع بين</w:t>
      </w:r>
      <w:r w:rsidRPr="00B114C2">
        <w:rPr>
          <w:rFonts w:asciiTheme="minorBidi" w:hAnsiTheme="minorBidi"/>
          <w:b/>
          <w:bCs/>
          <w:sz w:val="24"/>
          <w:szCs w:val="24"/>
        </w:rPr>
        <w:t xml:space="preserve"> IHD </w:t>
      </w:r>
      <w:r w:rsidRPr="00B114C2">
        <w:rPr>
          <w:rFonts w:asciiTheme="minorBidi" w:hAnsiTheme="minorBidi"/>
          <w:b/>
          <w:bCs/>
          <w:sz w:val="24"/>
          <w:szCs w:val="24"/>
          <w:rtl/>
        </w:rPr>
        <w:t>و</w:t>
      </w:r>
      <w:r w:rsidRPr="00B114C2">
        <w:rPr>
          <w:rFonts w:asciiTheme="minorBidi" w:hAnsiTheme="minorBidi"/>
          <w:b/>
          <w:bCs/>
          <w:sz w:val="24"/>
          <w:szCs w:val="24"/>
        </w:rPr>
        <w:t>CKRT</w:t>
      </w:r>
      <w:r>
        <w:rPr>
          <w:rFonts w:asciiTheme="minorBidi" w:hAnsiTheme="minorBidi" w:hint="cs"/>
          <w:b/>
          <w:bCs/>
          <w:sz w:val="24"/>
          <w:szCs w:val="24"/>
          <w:rtl/>
        </w:rPr>
        <w:t xml:space="preserve"> </w:t>
      </w:r>
      <w:r w:rsidRPr="00B114C2">
        <w:rPr>
          <w:rFonts w:asciiTheme="minorBidi" w:hAnsiTheme="minorBidi"/>
          <w:b/>
          <w:bCs/>
          <w:sz w:val="24"/>
          <w:szCs w:val="24"/>
        </w:rPr>
        <w:t xml:space="preserve"> </w:t>
      </w:r>
      <w:r w:rsidRPr="00B114C2">
        <w:rPr>
          <w:rFonts w:asciiTheme="minorBidi" w:hAnsiTheme="minorBidi"/>
          <w:b/>
          <w:bCs/>
          <w:sz w:val="24"/>
          <w:szCs w:val="24"/>
          <w:rtl/>
        </w:rPr>
        <w:t>في فرط بوتاسيوم الدم الشديد</w:t>
      </w:r>
    </w:p>
    <w:p w14:paraId="7BCD637B"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في هذه الحالات، قد يكون من الضروري الاستفادة من التصفية اللحظية العالية لـ</w:t>
      </w:r>
      <w:r w:rsidRPr="00110337">
        <w:rPr>
          <w:rFonts w:asciiTheme="minorBidi" w:hAnsiTheme="minorBidi"/>
          <w:sz w:val="24"/>
          <w:szCs w:val="24"/>
        </w:rPr>
        <w:t xml:space="preserve"> IHD </w:t>
      </w:r>
      <w:r w:rsidRPr="00110337">
        <w:rPr>
          <w:rFonts w:asciiTheme="minorBidi" w:hAnsiTheme="minorBidi"/>
          <w:sz w:val="24"/>
          <w:szCs w:val="24"/>
          <w:rtl/>
        </w:rPr>
        <w:t>في البداية لتصحيح فرط بوتاسيوم الدم المهدد للحياة بسرعة</w:t>
      </w:r>
      <w:r>
        <w:rPr>
          <w:rFonts w:asciiTheme="minorBidi" w:hAnsiTheme="minorBidi" w:hint="cs"/>
          <w:sz w:val="24"/>
          <w:szCs w:val="24"/>
          <w:rtl/>
        </w:rPr>
        <w:t xml:space="preserve"> ، </w:t>
      </w:r>
      <w:r w:rsidRPr="00110337">
        <w:rPr>
          <w:rFonts w:asciiTheme="minorBidi" w:hAnsiTheme="minorBidi"/>
          <w:sz w:val="24"/>
          <w:szCs w:val="24"/>
          <w:rtl/>
        </w:rPr>
        <w:t>ثم يُتبع ذلك مباشرةً بـ</w:t>
      </w:r>
      <w:r w:rsidRPr="00110337">
        <w:rPr>
          <w:rFonts w:asciiTheme="minorBidi" w:hAnsiTheme="minorBidi"/>
          <w:sz w:val="24"/>
          <w:szCs w:val="24"/>
        </w:rPr>
        <w:t xml:space="preserve"> CKRT </w:t>
      </w:r>
      <w:r w:rsidRPr="00110337">
        <w:rPr>
          <w:rFonts w:asciiTheme="minorBidi" w:hAnsiTheme="minorBidi"/>
          <w:sz w:val="24"/>
          <w:szCs w:val="24"/>
          <w:rtl/>
        </w:rPr>
        <w:t>لتوفير</w:t>
      </w:r>
      <w:r>
        <w:rPr>
          <w:rFonts w:asciiTheme="minorBidi" w:hAnsiTheme="minorBidi" w:hint="cs"/>
          <w:sz w:val="24"/>
          <w:szCs w:val="24"/>
          <w:rtl/>
        </w:rPr>
        <w:t xml:space="preserve"> </w:t>
      </w:r>
      <w:r w:rsidRPr="00110337">
        <w:rPr>
          <w:rFonts w:asciiTheme="minorBidi" w:hAnsiTheme="minorBidi"/>
          <w:sz w:val="24"/>
          <w:szCs w:val="24"/>
          <w:rtl/>
        </w:rPr>
        <w:t>جرعة كلية يومية مستمرة وأعلى من التصفية</w:t>
      </w:r>
      <w:r>
        <w:rPr>
          <w:rFonts w:asciiTheme="minorBidi" w:hAnsiTheme="minorBidi" w:hint="cs"/>
          <w:sz w:val="24"/>
          <w:szCs w:val="24"/>
          <w:rtl/>
        </w:rPr>
        <w:t xml:space="preserve"> </w:t>
      </w:r>
      <w:r w:rsidRPr="00110337">
        <w:rPr>
          <w:rFonts w:asciiTheme="minorBidi" w:hAnsiTheme="minorBidi"/>
          <w:sz w:val="24"/>
          <w:szCs w:val="24"/>
          <w:rtl/>
        </w:rPr>
        <w:t>بهدف الحفاظ على السيطرة الاستقلابية</w:t>
      </w:r>
      <w:r>
        <w:rPr>
          <w:rFonts w:asciiTheme="minorBidi" w:hAnsiTheme="minorBidi" w:hint="cs"/>
          <w:sz w:val="24"/>
          <w:szCs w:val="24"/>
          <w:rtl/>
        </w:rPr>
        <w:t>.</w:t>
      </w:r>
    </w:p>
    <w:p w14:paraId="116E5B06"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وعندما تُستخدم جرعات مرتفعة من</w:t>
      </w:r>
      <w:r w:rsidRPr="00110337">
        <w:rPr>
          <w:rFonts w:asciiTheme="minorBidi" w:hAnsiTheme="minorBidi"/>
          <w:sz w:val="24"/>
          <w:szCs w:val="24"/>
        </w:rPr>
        <w:t xml:space="preserve"> CKRT</w:t>
      </w:r>
      <w:r w:rsidRPr="00110337">
        <w:rPr>
          <w:rFonts w:asciiTheme="minorBidi" w:hAnsiTheme="minorBidi"/>
          <w:sz w:val="24"/>
          <w:szCs w:val="24"/>
          <w:rtl/>
        </w:rPr>
        <w:t>، فإنه بعد تحقيق السيطرة الاستقلابية وتحسن العملية المرضية الأساسية، ينبغي خفض الجرعة تدريجيًّا للعودة نحو المجال القياسي</w:t>
      </w:r>
      <w:r w:rsidRPr="00110337">
        <w:rPr>
          <w:rFonts w:asciiTheme="minorBidi" w:hAnsiTheme="minorBidi"/>
          <w:sz w:val="24"/>
          <w:szCs w:val="24"/>
        </w:rPr>
        <w:t>.</w:t>
      </w:r>
    </w:p>
    <w:p w14:paraId="51A6BA0A"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والهدف من ذلك هو تجنب الإزالة المفرطة لـ</w:t>
      </w:r>
      <w:r w:rsidRPr="00110337">
        <w:rPr>
          <w:rFonts w:asciiTheme="minorBidi" w:hAnsiTheme="minorBidi"/>
          <w:sz w:val="24"/>
          <w:szCs w:val="24"/>
        </w:rPr>
        <w:t>:</w:t>
      </w:r>
    </w:p>
    <w:p w14:paraId="043BE8B4"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الفوسفات</w:t>
      </w:r>
    </w:p>
    <w:p w14:paraId="095AF76B"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المغذيات الدقيقة</w:t>
      </w:r>
    </w:p>
    <w:p w14:paraId="01D275ED" w14:textId="77777777" w:rsidR="00E7037A"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الأدوية</w:t>
      </w:r>
      <w:r>
        <w:rPr>
          <w:rFonts w:asciiTheme="minorBidi" w:hAnsiTheme="minorBidi" w:hint="cs"/>
          <w:sz w:val="24"/>
          <w:szCs w:val="24"/>
          <w:rtl/>
        </w:rPr>
        <w:t>.</w:t>
      </w:r>
    </w:p>
    <w:p w14:paraId="0202C577" w14:textId="77777777" w:rsidR="00E7037A" w:rsidRPr="00110337" w:rsidRDefault="00E7037A" w:rsidP="00E7037A">
      <w:pPr>
        <w:bidi/>
        <w:spacing w:after="0"/>
        <w:rPr>
          <w:rFonts w:asciiTheme="minorBidi" w:hAnsiTheme="minorBidi"/>
          <w:sz w:val="24"/>
          <w:szCs w:val="24"/>
          <w:rtl/>
        </w:rPr>
      </w:pPr>
    </w:p>
    <w:p w14:paraId="3F5E1AD5" w14:textId="77777777" w:rsidR="00E7037A" w:rsidRPr="00790DCD" w:rsidRDefault="00E7037A" w:rsidP="00E7037A">
      <w:pPr>
        <w:bidi/>
        <w:spacing w:after="0"/>
        <w:rPr>
          <w:rFonts w:asciiTheme="minorBidi" w:hAnsiTheme="minorBidi"/>
          <w:b/>
          <w:bCs/>
          <w:sz w:val="24"/>
          <w:szCs w:val="24"/>
          <w:rtl/>
        </w:rPr>
      </w:pPr>
      <w:r w:rsidRPr="00790DCD">
        <w:rPr>
          <w:rFonts w:asciiTheme="minorBidi" w:hAnsiTheme="minorBidi" w:hint="cs"/>
          <w:b/>
          <w:bCs/>
          <w:sz w:val="24"/>
          <w:szCs w:val="24"/>
          <w:rtl/>
        </w:rPr>
        <w:t xml:space="preserve">متى يستخدم الـ  </w:t>
      </w:r>
      <w:r w:rsidRPr="00790DCD">
        <w:rPr>
          <w:rFonts w:asciiTheme="minorBidi" w:hAnsiTheme="minorBidi"/>
          <w:b/>
          <w:bCs/>
          <w:sz w:val="24"/>
          <w:szCs w:val="24"/>
        </w:rPr>
        <w:t>CKRT</w:t>
      </w:r>
      <w:r w:rsidRPr="00790DCD">
        <w:rPr>
          <w:rFonts w:asciiTheme="minorBidi" w:hAnsiTheme="minorBidi" w:hint="cs"/>
          <w:b/>
          <w:bCs/>
          <w:sz w:val="24"/>
          <w:szCs w:val="24"/>
          <w:rtl/>
        </w:rPr>
        <w:t xml:space="preserve"> </w:t>
      </w:r>
      <w:r w:rsidRPr="00790DCD">
        <w:rPr>
          <w:rFonts w:asciiTheme="minorBidi" w:hAnsiTheme="minorBidi"/>
          <w:b/>
          <w:bCs/>
          <w:sz w:val="24"/>
          <w:szCs w:val="24"/>
          <w:rtl/>
        </w:rPr>
        <w:t>عالي الجرعة في الحماض اللبني</w:t>
      </w:r>
      <w:r>
        <w:rPr>
          <w:rFonts w:asciiTheme="minorBidi" w:hAnsiTheme="minorBidi" w:hint="cs"/>
          <w:b/>
          <w:bCs/>
          <w:sz w:val="24"/>
          <w:szCs w:val="24"/>
          <w:rtl/>
        </w:rPr>
        <w:t xml:space="preserve"> ؟</w:t>
      </w:r>
    </w:p>
    <w:p w14:paraId="18383B7D"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من الحالات التي لا ينبغي</w:t>
      </w:r>
      <w:r>
        <w:rPr>
          <w:rFonts w:asciiTheme="minorBidi" w:hAnsiTheme="minorBidi" w:hint="cs"/>
          <w:sz w:val="24"/>
          <w:szCs w:val="24"/>
          <w:rtl/>
        </w:rPr>
        <w:t xml:space="preserve"> فيها</w:t>
      </w:r>
      <w:r w:rsidRPr="00110337">
        <w:rPr>
          <w:rFonts w:asciiTheme="minorBidi" w:hAnsiTheme="minorBidi"/>
          <w:sz w:val="24"/>
          <w:szCs w:val="24"/>
          <w:rtl/>
        </w:rPr>
        <w:t xml:space="preserve"> استخدام</w:t>
      </w:r>
      <w:r w:rsidRPr="00110337">
        <w:rPr>
          <w:rFonts w:asciiTheme="minorBidi" w:hAnsiTheme="minorBidi"/>
          <w:sz w:val="24"/>
          <w:szCs w:val="24"/>
        </w:rPr>
        <w:t xml:space="preserve"> CKRT </w:t>
      </w:r>
      <w:r w:rsidRPr="00110337">
        <w:rPr>
          <w:rFonts w:asciiTheme="minorBidi" w:hAnsiTheme="minorBidi"/>
          <w:sz w:val="24"/>
          <w:szCs w:val="24"/>
          <w:rtl/>
        </w:rPr>
        <w:t>عالي الجرعة بصورة روتينية، رغم استمرار الجدل حول الموضوع</w:t>
      </w:r>
      <w:r w:rsidRPr="00110337">
        <w:rPr>
          <w:rFonts w:asciiTheme="minorBidi" w:hAnsiTheme="minorBidi"/>
          <w:sz w:val="24"/>
          <w:szCs w:val="24"/>
        </w:rPr>
        <w:t>:</w:t>
      </w:r>
    </w:p>
    <w:p w14:paraId="404EDBA3"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 xml:space="preserve">هي </w:t>
      </w:r>
      <w:r w:rsidRPr="00110337">
        <w:rPr>
          <w:rFonts w:asciiTheme="minorBidi" w:hAnsiTheme="minorBidi"/>
          <w:sz w:val="24"/>
          <w:szCs w:val="24"/>
          <w:rtl/>
        </w:rPr>
        <w:t>علاج الحماض اللبني</w:t>
      </w:r>
      <w:r>
        <w:rPr>
          <w:rFonts w:asciiTheme="minorBidi" w:hAnsiTheme="minorBidi" w:hint="cs"/>
          <w:sz w:val="24"/>
          <w:szCs w:val="24"/>
          <w:rtl/>
        </w:rPr>
        <w:t xml:space="preserve"> </w:t>
      </w:r>
      <w:r w:rsidRPr="00110337">
        <w:rPr>
          <w:rFonts w:asciiTheme="minorBidi" w:hAnsiTheme="minorBidi"/>
          <w:sz w:val="24"/>
          <w:szCs w:val="24"/>
        </w:rPr>
        <w:t xml:space="preserve"> (Lactic acidosis)</w:t>
      </w:r>
      <w:r>
        <w:rPr>
          <w:rFonts w:asciiTheme="minorBidi" w:hAnsiTheme="minorBidi" w:hint="cs"/>
          <w:sz w:val="24"/>
          <w:szCs w:val="24"/>
          <w:rtl/>
        </w:rPr>
        <w:t xml:space="preserve"> ، </w:t>
      </w:r>
      <w:r w:rsidRPr="00110337">
        <w:rPr>
          <w:rFonts w:asciiTheme="minorBidi" w:hAnsiTheme="minorBidi"/>
          <w:sz w:val="24"/>
          <w:szCs w:val="24"/>
          <w:rtl/>
        </w:rPr>
        <w:t>ولا سيما</w:t>
      </w:r>
      <w:r>
        <w:rPr>
          <w:rFonts w:asciiTheme="minorBidi" w:hAnsiTheme="minorBidi" w:hint="cs"/>
          <w:sz w:val="24"/>
          <w:szCs w:val="24"/>
          <w:rtl/>
        </w:rPr>
        <w:t xml:space="preserve"> </w:t>
      </w:r>
      <w:r w:rsidRPr="00110337">
        <w:rPr>
          <w:rFonts w:asciiTheme="minorBidi" w:hAnsiTheme="minorBidi"/>
          <w:sz w:val="24"/>
          <w:szCs w:val="24"/>
          <w:rtl/>
        </w:rPr>
        <w:t>الحماض اللبني من النوع</w:t>
      </w:r>
      <w:r>
        <w:rPr>
          <w:rFonts w:asciiTheme="minorBidi" w:hAnsiTheme="minorBidi" w:hint="cs"/>
          <w:sz w:val="24"/>
          <w:szCs w:val="24"/>
          <w:rtl/>
        </w:rPr>
        <w:t xml:space="preserve"> </w:t>
      </w:r>
      <w:r w:rsidRPr="00110337">
        <w:rPr>
          <w:rFonts w:asciiTheme="minorBidi" w:hAnsiTheme="minorBidi"/>
          <w:sz w:val="24"/>
          <w:szCs w:val="24"/>
        </w:rPr>
        <w:t xml:space="preserve"> A</w:t>
      </w:r>
    </w:p>
    <w:p w14:paraId="2C4CE305"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أي الناتج عن</w:t>
      </w:r>
      <w:r>
        <w:rPr>
          <w:rFonts w:asciiTheme="minorBidi" w:hAnsiTheme="minorBidi" w:hint="cs"/>
          <w:sz w:val="24"/>
          <w:szCs w:val="24"/>
          <w:rtl/>
        </w:rPr>
        <w:t xml:space="preserve"> </w:t>
      </w:r>
      <w:r w:rsidRPr="00110337">
        <w:rPr>
          <w:rFonts w:asciiTheme="minorBidi" w:hAnsiTheme="minorBidi"/>
          <w:sz w:val="24"/>
          <w:szCs w:val="24"/>
          <w:rtl/>
        </w:rPr>
        <w:t>الصدمة</w:t>
      </w:r>
      <w:r>
        <w:rPr>
          <w:rFonts w:asciiTheme="minorBidi" w:hAnsiTheme="minorBidi" w:hint="cs"/>
          <w:sz w:val="24"/>
          <w:szCs w:val="24"/>
          <w:rtl/>
        </w:rPr>
        <w:t xml:space="preserve"> </w:t>
      </w:r>
      <w:r w:rsidRPr="00110337">
        <w:rPr>
          <w:rFonts w:asciiTheme="minorBidi" w:hAnsiTheme="minorBidi"/>
          <w:sz w:val="24"/>
          <w:szCs w:val="24"/>
          <w:rtl/>
        </w:rPr>
        <w:t>أو نقص التروية النوعي لأحد الأعضاء</w:t>
      </w:r>
      <w:r w:rsidRPr="00110337">
        <w:rPr>
          <w:rFonts w:asciiTheme="minorBidi" w:hAnsiTheme="minorBidi"/>
          <w:sz w:val="24"/>
          <w:szCs w:val="24"/>
        </w:rPr>
        <w:t>.</w:t>
      </w:r>
    </w:p>
    <w:p w14:paraId="1CADF263" w14:textId="77777777" w:rsidR="00E7037A" w:rsidRDefault="00E7037A" w:rsidP="00E7037A">
      <w:pPr>
        <w:bidi/>
        <w:spacing w:after="0"/>
        <w:rPr>
          <w:rFonts w:asciiTheme="minorBidi" w:hAnsiTheme="minorBidi"/>
          <w:sz w:val="24"/>
          <w:szCs w:val="24"/>
          <w:rtl/>
        </w:rPr>
      </w:pPr>
    </w:p>
    <w:p w14:paraId="583882F3" w14:textId="77777777" w:rsidR="00E7037A" w:rsidRPr="00110337" w:rsidRDefault="00E7037A" w:rsidP="00E7037A">
      <w:pPr>
        <w:bidi/>
        <w:spacing w:after="0"/>
        <w:rPr>
          <w:rFonts w:asciiTheme="minorBidi" w:hAnsiTheme="minorBidi"/>
          <w:sz w:val="24"/>
          <w:szCs w:val="24"/>
        </w:rPr>
      </w:pPr>
      <w:r w:rsidRPr="00110337">
        <w:rPr>
          <w:rFonts w:asciiTheme="minorBidi" w:hAnsiTheme="minorBidi"/>
          <w:sz w:val="24"/>
          <w:szCs w:val="24"/>
          <w:rtl/>
        </w:rPr>
        <w:t>وعلى الرغم من أن اللاكتات جزيء صغير وقابل للذوبان في الماء، وبالتالي يمكن إزالته بسهولة نسبيًّا بالغسيل الكلوي، مع</w:t>
      </w:r>
      <w:r>
        <w:rPr>
          <w:rFonts w:asciiTheme="minorBidi" w:hAnsiTheme="minorBidi" w:hint="cs"/>
          <w:sz w:val="24"/>
          <w:szCs w:val="24"/>
          <w:rtl/>
        </w:rPr>
        <w:t xml:space="preserve"> : </w:t>
      </w:r>
      <w:r w:rsidRPr="00110337">
        <w:rPr>
          <w:rFonts w:asciiTheme="minorBidi" w:hAnsiTheme="minorBidi"/>
          <w:sz w:val="24"/>
          <w:szCs w:val="24"/>
        </w:rPr>
        <w:t>S ≈ 1</w:t>
      </w:r>
    </w:p>
    <w:p w14:paraId="0B048CF5"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 xml:space="preserve">فإن العلاج </w:t>
      </w:r>
      <w:r>
        <w:rPr>
          <w:rFonts w:asciiTheme="minorBidi" w:hAnsiTheme="minorBidi" w:hint="cs"/>
          <w:sz w:val="24"/>
          <w:szCs w:val="24"/>
          <w:rtl/>
        </w:rPr>
        <w:t>بالغسيل</w:t>
      </w:r>
      <w:r w:rsidRPr="00110337">
        <w:rPr>
          <w:rFonts w:asciiTheme="minorBidi" w:hAnsiTheme="minorBidi"/>
          <w:sz w:val="24"/>
          <w:szCs w:val="24"/>
          <w:rtl/>
        </w:rPr>
        <w:t xml:space="preserve"> الكلوي عمومًا له تأثير محدود جدًّا في مستويات اللاكتات في المصل</w:t>
      </w:r>
      <w:r>
        <w:rPr>
          <w:rFonts w:asciiTheme="minorBidi" w:hAnsiTheme="minorBidi" w:hint="cs"/>
          <w:sz w:val="24"/>
          <w:szCs w:val="24"/>
          <w:rtl/>
        </w:rPr>
        <w:t xml:space="preserve">. </w:t>
      </w:r>
    </w:p>
    <w:p w14:paraId="48A03CF7"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والسبب في ذلك أن معدل التصفية الذي يقدمه</w:t>
      </w:r>
      <w:r w:rsidRPr="00110337">
        <w:rPr>
          <w:rFonts w:asciiTheme="minorBidi" w:hAnsiTheme="minorBidi"/>
          <w:sz w:val="24"/>
          <w:szCs w:val="24"/>
        </w:rPr>
        <w:t xml:space="preserve"> CKRT</w:t>
      </w:r>
      <w:r w:rsidRPr="00110337">
        <w:rPr>
          <w:rFonts w:asciiTheme="minorBidi" w:hAnsiTheme="minorBidi"/>
          <w:sz w:val="24"/>
          <w:szCs w:val="24"/>
          <w:rtl/>
        </w:rPr>
        <w:t>، حتى عند استخدام جرعات مرتفعة جدًّا، مثل</w:t>
      </w:r>
      <w:r>
        <w:rPr>
          <w:rFonts w:asciiTheme="minorBidi" w:hAnsiTheme="minorBidi" w:hint="cs"/>
          <w:sz w:val="24"/>
          <w:szCs w:val="24"/>
          <w:rtl/>
        </w:rPr>
        <w:t xml:space="preserve"> </w:t>
      </w:r>
      <w:r w:rsidRPr="00110337">
        <w:rPr>
          <w:rFonts w:asciiTheme="minorBidi" w:hAnsiTheme="minorBidi"/>
          <w:sz w:val="24"/>
          <w:szCs w:val="24"/>
        </w:rPr>
        <w:t>50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مل/دقيقة</w:t>
      </w:r>
    </w:p>
    <w:p w14:paraId="464F9EC8"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يظل منخفضًا للغاية مقارنةً بالتصفية الداخلية الطبيعية للاكتات</w:t>
      </w:r>
      <w:r w:rsidRPr="00110337">
        <w:rPr>
          <w:rFonts w:asciiTheme="minorBidi" w:hAnsiTheme="minorBidi"/>
          <w:sz w:val="24"/>
          <w:szCs w:val="24"/>
        </w:rPr>
        <w:t>.</w:t>
      </w:r>
    </w:p>
    <w:p w14:paraId="778B2A55"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وقد قُدّرت التصفية الداخلية للاكتات لدى المرضى ذوي الحالات الحرجة بنحو</w:t>
      </w:r>
      <w:r>
        <w:rPr>
          <w:rFonts w:asciiTheme="minorBidi" w:hAnsiTheme="minorBidi" w:hint="cs"/>
          <w:sz w:val="24"/>
          <w:szCs w:val="24"/>
          <w:rtl/>
        </w:rPr>
        <w:t xml:space="preserve"> </w:t>
      </w:r>
      <w:r w:rsidRPr="00110337">
        <w:rPr>
          <w:rFonts w:asciiTheme="minorBidi" w:hAnsiTheme="minorBidi"/>
          <w:sz w:val="24"/>
          <w:szCs w:val="24"/>
        </w:rPr>
        <w:t>750–2,000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مل/دقيقة</w:t>
      </w:r>
      <w:r w:rsidRPr="00110337">
        <w:rPr>
          <w:rFonts w:asciiTheme="minorBidi" w:hAnsiTheme="minorBidi"/>
          <w:sz w:val="24"/>
          <w:szCs w:val="24"/>
        </w:rPr>
        <w:t>.</w:t>
      </w:r>
    </w:p>
    <w:p w14:paraId="30E3EA41"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وبالتالي فإن</w:t>
      </w:r>
      <w:r w:rsidRPr="00110337">
        <w:rPr>
          <w:rFonts w:asciiTheme="minorBidi" w:hAnsiTheme="minorBidi"/>
          <w:sz w:val="24"/>
          <w:szCs w:val="24"/>
        </w:rPr>
        <w:t xml:space="preserve"> CKRT </w:t>
      </w:r>
      <w:r w:rsidRPr="00110337">
        <w:rPr>
          <w:rFonts w:asciiTheme="minorBidi" w:hAnsiTheme="minorBidi"/>
          <w:sz w:val="24"/>
          <w:szCs w:val="24"/>
          <w:rtl/>
        </w:rPr>
        <w:t>لا يكون له عادةً سوى تأثير ضئيل في مستويات اللاكتات في المصل</w:t>
      </w:r>
      <w:r w:rsidRPr="00110337">
        <w:rPr>
          <w:rFonts w:asciiTheme="minorBidi" w:hAnsiTheme="minorBidi"/>
          <w:sz w:val="24"/>
          <w:szCs w:val="24"/>
        </w:rPr>
        <w:t>.</w:t>
      </w:r>
    </w:p>
    <w:p w14:paraId="329E7E54"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ولهذا يمكن عمومًا تفسير تغيرات مستوى اللاكتات لدى المرضى الخاضعين لـ</w:t>
      </w:r>
      <w:r w:rsidRPr="00110337">
        <w:rPr>
          <w:rFonts w:asciiTheme="minorBidi" w:hAnsiTheme="minorBidi"/>
          <w:sz w:val="24"/>
          <w:szCs w:val="24"/>
        </w:rPr>
        <w:t xml:space="preserve"> CKRT </w:t>
      </w:r>
      <w:r w:rsidRPr="00110337">
        <w:rPr>
          <w:rFonts w:asciiTheme="minorBidi" w:hAnsiTheme="minorBidi"/>
          <w:sz w:val="24"/>
          <w:szCs w:val="24"/>
          <w:rtl/>
        </w:rPr>
        <w:t>بالطريقة نفسها تقريبًا التي تُفسر بها لدى المرضى غير الخاضعين لـ</w:t>
      </w:r>
      <w:r w:rsidRPr="00110337">
        <w:rPr>
          <w:rFonts w:asciiTheme="minorBidi" w:hAnsiTheme="minorBidi"/>
          <w:sz w:val="24"/>
          <w:szCs w:val="24"/>
        </w:rPr>
        <w:t xml:space="preserve"> CKRT</w:t>
      </w:r>
      <w:r>
        <w:rPr>
          <w:rFonts w:asciiTheme="minorBidi" w:hAnsiTheme="minorBidi" w:hint="cs"/>
          <w:sz w:val="24"/>
          <w:szCs w:val="24"/>
          <w:rtl/>
        </w:rPr>
        <w:t>.</w:t>
      </w:r>
    </w:p>
    <w:p w14:paraId="056137A2" w14:textId="77777777" w:rsidR="00E7037A" w:rsidRDefault="00E7037A" w:rsidP="00E7037A">
      <w:pPr>
        <w:bidi/>
        <w:spacing w:after="0"/>
        <w:rPr>
          <w:rFonts w:asciiTheme="minorBidi" w:hAnsiTheme="minorBidi"/>
          <w:sz w:val="24"/>
          <w:szCs w:val="24"/>
          <w:rtl/>
        </w:rPr>
      </w:pPr>
    </w:p>
    <w:p w14:paraId="7D9FF087" w14:textId="77777777" w:rsidR="00E7037A" w:rsidRPr="00790DCD" w:rsidRDefault="00E7037A" w:rsidP="00E7037A">
      <w:pPr>
        <w:bidi/>
        <w:spacing w:after="0"/>
        <w:rPr>
          <w:rFonts w:asciiTheme="minorBidi" w:hAnsiTheme="minorBidi"/>
          <w:b/>
          <w:bCs/>
          <w:sz w:val="24"/>
          <w:szCs w:val="24"/>
          <w:rtl/>
        </w:rPr>
      </w:pPr>
      <w:r w:rsidRPr="00790DCD">
        <w:rPr>
          <w:rFonts w:asciiTheme="minorBidi" w:hAnsiTheme="minorBidi"/>
          <w:b/>
          <w:bCs/>
          <w:sz w:val="24"/>
          <w:szCs w:val="24"/>
          <w:rtl/>
        </w:rPr>
        <w:t>الحماض اللبني من النوع</w:t>
      </w:r>
      <w:r>
        <w:rPr>
          <w:rFonts w:asciiTheme="minorBidi" w:hAnsiTheme="minorBidi" w:hint="cs"/>
          <w:b/>
          <w:bCs/>
          <w:sz w:val="24"/>
          <w:szCs w:val="24"/>
          <w:rtl/>
        </w:rPr>
        <w:t xml:space="preserve"> </w:t>
      </w:r>
      <w:r w:rsidRPr="00790DCD">
        <w:rPr>
          <w:rFonts w:asciiTheme="minorBidi" w:hAnsiTheme="minorBidi"/>
          <w:b/>
          <w:bCs/>
          <w:sz w:val="24"/>
          <w:szCs w:val="24"/>
        </w:rPr>
        <w:t xml:space="preserve"> B</w:t>
      </w:r>
    </w:p>
    <w:p w14:paraId="7BDB7176"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 xml:space="preserve">على الرغم من أنه أقل شيوعًا، فإن العلاج </w:t>
      </w:r>
      <w:r>
        <w:rPr>
          <w:rFonts w:asciiTheme="minorBidi" w:hAnsiTheme="minorBidi" w:hint="cs"/>
          <w:sz w:val="24"/>
          <w:szCs w:val="24"/>
          <w:rtl/>
        </w:rPr>
        <w:t>بالغسيل</w:t>
      </w:r>
      <w:r w:rsidRPr="00110337">
        <w:rPr>
          <w:rFonts w:asciiTheme="minorBidi" w:hAnsiTheme="minorBidi"/>
          <w:sz w:val="24"/>
          <w:szCs w:val="24"/>
          <w:rtl/>
        </w:rPr>
        <w:t xml:space="preserve"> الكلوي يؤدي دورًا مهمًّا في علاج</w:t>
      </w:r>
      <w:r>
        <w:rPr>
          <w:rFonts w:asciiTheme="minorBidi" w:hAnsiTheme="minorBidi" w:hint="cs"/>
          <w:sz w:val="24"/>
          <w:szCs w:val="24"/>
          <w:rtl/>
        </w:rPr>
        <w:t xml:space="preserve"> </w:t>
      </w:r>
      <w:r w:rsidRPr="00110337">
        <w:rPr>
          <w:rFonts w:asciiTheme="minorBidi" w:hAnsiTheme="minorBidi"/>
          <w:sz w:val="24"/>
          <w:szCs w:val="24"/>
          <w:rtl/>
        </w:rPr>
        <w:t>الحماض اللبني من النوع</w:t>
      </w:r>
      <w:r w:rsidRPr="00110337">
        <w:rPr>
          <w:rFonts w:asciiTheme="minorBidi" w:hAnsiTheme="minorBidi"/>
          <w:sz w:val="24"/>
          <w:szCs w:val="24"/>
        </w:rPr>
        <w:t xml:space="preserve"> B </w:t>
      </w:r>
      <w:r w:rsidRPr="00110337">
        <w:rPr>
          <w:rFonts w:asciiTheme="minorBidi" w:hAnsiTheme="minorBidi"/>
          <w:sz w:val="24"/>
          <w:szCs w:val="24"/>
          <w:rtl/>
        </w:rPr>
        <w:t>الناجم عن سمية دوائية</w:t>
      </w:r>
      <w:r>
        <w:rPr>
          <w:rFonts w:asciiTheme="minorBidi" w:hAnsiTheme="minorBidi" w:hint="cs"/>
          <w:sz w:val="24"/>
          <w:szCs w:val="24"/>
          <w:rtl/>
        </w:rPr>
        <w:t xml:space="preserve"> ، </w:t>
      </w:r>
      <w:r w:rsidRPr="00110337">
        <w:rPr>
          <w:rFonts w:asciiTheme="minorBidi" w:hAnsiTheme="minorBidi"/>
          <w:sz w:val="24"/>
          <w:szCs w:val="24"/>
          <w:rtl/>
        </w:rPr>
        <w:t>مثل</w:t>
      </w:r>
      <w:r>
        <w:rPr>
          <w:rFonts w:asciiTheme="minorBidi" w:hAnsiTheme="minorBidi" w:hint="cs"/>
          <w:sz w:val="24"/>
          <w:szCs w:val="24"/>
          <w:rtl/>
        </w:rPr>
        <w:t xml:space="preserve"> </w:t>
      </w:r>
      <w:r w:rsidRPr="00110337">
        <w:rPr>
          <w:rFonts w:asciiTheme="minorBidi" w:hAnsiTheme="minorBidi"/>
          <w:sz w:val="24"/>
          <w:szCs w:val="24"/>
          <w:rtl/>
        </w:rPr>
        <w:t>تسمم الميتفورمين</w:t>
      </w:r>
      <w:r w:rsidRPr="00110337">
        <w:rPr>
          <w:rFonts w:asciiTheme="minorBidi" w:hAnsiTheme="minorBidi"/>
          <w:sz w:val="24"/>
          <w:szCs w:val="24"/>
        </w:rPr>
        <w:t>.</w:t>
      </w:r>
    </w:p>
    <w:p w14:paraId="2C9CB6FA"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ولكن في هذه الحالة يُفضَّل غالبًا</w:t>
      </w:r>
      <w:r>
        <w:rPr>
          <w:rFonts w:asciiTheme="minorBidi" w:hAnsiTheme="minorBidi" w:hint="cs"/>
          <w:sz w:val="24"/>
          <w:szCs w:val="24"/>
          <w:rtl/>
        </w:rPr>
        <w:t xml:space="preserve"> </w:t>
      </w:r>
      <w:r w:rsidRPr="00110337">
        <w:rPr>
          <w:rFonts w:asciiTheme="minorBidi" w:hAnsiTheme="minorBidi"/>
          <w:sz w:val="24"/>
          <w:szCs w:val="24"/>
          <w:rtl/>
        </w:rPr>
        <w:t>غسيل الكلى المتقطع</w:t>
      </w:r>
      <w:r>
        <w:rPr>
          <w:rFonts w:asciiTheme="minorBidi" w:hAnsiTheme="minorBidi" w:hint="cs"/>
          <w:sz w:val="24"/>
          <w:szCs w:val="24"/>
          <w:rtl/>
        </w:rPr>
        <w:t xml:space="preserve"> </w:t>
      </w:r>
      <w:r w:rsidRPr="00110337">
        <w:rPr>
          <w:rFonts w:asciiTheme="minorBidi" w:hAnsiTheme="minorBidi"/>
          <w:sz w:val="24"/>
          <w:szCs w:val="24"/>
        </w:rPr>
        <w:t>IHD</w:t>
      </w:r>
      <w:r>
        <w:rPr>
          <w:rFonts w:asciiTheme="minorBidi" w:hAnsiTheme="minorBidi" w:hint="cs"/>
          <w:sz w:val="24"/>
          <w:szCs w:val="24"/>
          <w:rtl/>
        </w:rPr>
        <w:t xml:space="preserve"> </w:t>
      </w:r>
      <w:r w:rsidRPr="00110337">
        <w:rPr>
          <w:rFonts w:asciiTheme="minorBidi" w:hAnsiTheme="minorBidi"/>
          <w:sz w:val="24"/>
          <w:szCs w:val="24"/>
          <w:rtl/>
        </w:rPr>
        <w:t>على</w:t>
      </w:r>
      <w:r w:rsidRPr="00110337">
        <w:rPr>
          <w:rFonts w:asciiTheme="minorBidi" w:hAnsiTheme="minorBidi"/>
          <w:sz w:val="24"/>
          <w:szCs w:val="24"/>
        </w:rPr>
        <w:t xml:space="preserve"> CKRT</w:t>
      </w:r>
      <w:r w:rsidRPr="00110337">
        <w:rPr>
          <w:rFonts w:asciiTheme="minorBidi" w:hAnsiTheme="minorBidi"/>
          <w:sz w:val="24"/>
          <w:szCs w:val="24"/>
          <w:rtl/>
        </w:rPr>
        <w:t>، بسبب قدرته على تحقيق تصفية أعلى</w:t>
      </w:r>
      <w:r w:rsidRPr="00110337">
        <w:rPr>
          <w:rFonts w:asciiTheme="minorBidi" w:hAnsiTheme="minorBidi"/>
          <w:sz w:val="24"/>
          <w:szCs w:val="24"/>
        </w:rPr>
        <w:t>.</w:t>
      </w:r>
    </w:p>
    <w:p w14:paraId="13245915" w14:textId="77777777" w:rsidR="00E7037A" w:rsidRPr="00110337" w:rsidRDefault="00E7037A" w:rsidP="00E7037A">
      <w:pPr>
        <w:bidi/>
        <w:spacing w:after="0"/>
        <w:rPr>
          <w:rFonts w:asciiTheme="minorBidi" w:hAnsiTheme="minorBidi"/>
          <w:sz w:val="24"/>
          <w:szCs w:val="24"/>
          <w:rtl/>
        </w:rPr>
      </w:pPr>
    </w:p>
    <w:p w14:paraId="747A404F" w14:textId="77777777" w:rsidR="00E7037A" w:rsidRPr="00790DCD" w:rsidRDefault="00E7037A" w:rsidP="00E7037A">
      <w:pPr>
        <w:bidi/>
        <w:spacing w:after="0"/>
        <w:rPr>
          <w:rFonts w:asciiTheme="minorBidi" w:hAnsiTheme="minorBidi"/>
          <w:b/>
          <w:bCs/>
          <w:sz w:val="24"/>
          <w:szCs w:val="24"/>
        </w:rPr>
      </w:pPr>
      <w:r w:rsidRPr="00790DCD">
        <w:rPr>
          <w:rFonts w:asciiTheme="minorBidi" w:hAnsiTheme="minorBidi"/>
          <w:b/>
          <w:bCs/>
          <w:sz w:val="24"/>
          <w:szCs w:val="24"/>
          <w:rtl/>
        </w:rPr>
        <w:t>تدفق الدم</w:t>
      </w:r>
      <w:r w:rsidRPr="00790DCD">
        <w:rPr>
          <w:rFonts w:asciiTheme="minorBidi" w:hAnsiTheme="minorBidi" w:hint="cs"/>
          <w:b/>
          <w:bCs/>
          <w:sz w:val="24"/>
          <w:szCs w:val="24"/>
          <w:rtl/>
        </w:rPr>
        <w:t xml:space="preserve"> </w:t>
      </w:r>
      <w:r w:rsidRPr="00790DCD">
        <w:rPr>
          <w:rFonts w:asciiTheme="minorBidi" w:hAnsiTheme="minorBidi"/>
          <w:b/>
          <w:bCs/>
          <w:sz w:val="24"/>
          <w:szCs w:val="24"/>
        </w:rPr>
        <w:t>Blood Flow</w:t>
      </w:r>
    </w:p>
    <w:p w14:paraId="1102140F"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مقارنةً بـ غسيل الكلى المتقطع</w:t>
      </w:r>
      <w:r>
        <w:rPr>
          <w:rFonts w:asciiTheme="minorBidi" w:hAnsiTheme="minorBidi" w:hint="cs"/>
          <w:sz w:val="24"/>
          <w:szCs w:val="24"/>
          <w:rtl/>
        </w:rPr>
        <w:t xml:space="preserve"> </w:t>
      </w:r>
      <w:r w:rsidRPr="00110337">
        <w:rPr>
          <w:rFonts w:asciiTheme="minorBidi" w:hAnsiTheme="minorBidi"/>
          <w:sz w:val="24"/>
          <w:szCs w:val="24"/>
        </w:rPr>
        <w:t xml:space="preserve"> (IHD)</w:t>
      </w:r>
      <w:r w:rsidRPr="00110337">
        <w:rPr>
          <w:rFonts w:asciiTheme="minorBidi" w:hAnsiTheme="minorBidi"/>
          <w:sz w:val="24"/>
          <w:szCs w:val="24"/>
          <w:rtl/>
        </w:rPr>
        <w:t>، فإن المجال المعتاد لمعدل تدفق الدم</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Pr>
        <w:t xml:space="preserve"> </w:t>
      </w:r>
      <w:r w:rsidRPr="00110337">
        <w:rPr>
          <w:rFonts w:asciiTheme="minorBidi" w:hAnsiTheme="minorBidi"/>
          <w:sz w:val="24"/>
          <w:szCs w:val="24"/>
          <w:rtl/>
        </w:rPr>
        <w:t>المستخدم في العلاج المستمر بالإحلال الكلوي</w:t>
      </w:r>
      <w:r w:rsidRPr="00110337">
        <w:rPr>
          <w:rFonts w:asciiTheme="minorBidi" w:hAnsiTheme="minorBidi"/>
          <w:sz w:val="24"/>
          <w:szCs w:val="24"/>
        </w:rPr>
        <w:t xml:space="preserve"> (CKRT) </w:t>
      </w:r>
      <w:r w:rsidRPr="00110337">
        <w:rPr>
          <w:rFonts w:asciiTheme="minorBidi" w:hAnsiTheme="minorBidi"/>
          <w:sz w:val="24"/>
          <w:szCs w:val="24"/>
          <w:rtl/>
        </w:rPr>
        <w:t>يكون أقل بكثير</w:t>
      </w:r>
      <w:r w:rsidRPr="00110337">
        <w:rPr>
          <w:rFonts w:asciiTheme="minorBidi" w:hAnsiTheme="minorBidi"/>
          <w:sz w:val="24"/>
          <w:szCs w:val="24"/>
        </w:rPr>
        <w:t>.</w:t>
      </w:r>
    </w:p>
    <w:p w14:paraId="17C83295"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وكما ذُكر سابقًا، فإن</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Pr>
        <w:t xml:space="preserve"> </w:t>
      </w:r>
      <w:r w:rsidRPr="00110337">
        <w:rPr>
          <w:rFonts w:asciiTheme="minorBidi" w:hAnsiTheme="minorBidi"/>
          <w:sz w:val="24"/>
          <w:szCs w:val="24"/>
          <w:rtl/>
        </w:rPr>
        <w:t>يكون له عادةً تأثير ضئيل جدًا في جرعة</w:t>
      </w:r>
      <w:r w:rsidRPr="00110337">
        <w:rPr>
          <w:rFonts w:asciiTheme="minorBidi" w:hAnsiTheme="minorBidi"/>
          <w:sz w:val="24"/>
          <w:szCs w:val="24"/>
        </w:rPr>
        <w:t xml:space="preserve"> CKRT </w:t>
      </w:r>
      <w:r w:rsidRPr="00110337">
        <w:rPr>
          <w:rFonts w:asciiTheme="minorBidi" w:hAnsiTheme="minorBidi"/>
          <w:sz w:val="24"/>
          <w:szCs w:val="24"/>
          <w:rtl/>
        </w:rPr>
        <w:t>ضمن نطاق الجرعات المعتاد</w:t>
      </w:r>
      <w:r w:rsidRPr="00110337">
        <w:rPr>
          <w:rFonts w:asciiTheme="minorBidi" w:hAnsiTheme="minorBidi"/>
          <w:sz w:val="24"/>
          <w:szCs w:val="24"/>
        </w:rPr>
        <w:t>.</w:t>
      </w:r>
    </w:p>
    <w:p w14:paraId="76493B44"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لكن عند استخدام</w:t>
      </w:r>
      <w:r w:rsidRPr="00110337">
        <w:rPr>
          <w:rFonts w:asciiTheme="minorBidi" w:hAnsiTheme="minorBidi"/>
          <w:sz w:val="24"/>
          <w:szCs w:val="24"/>
        </w:rPr>
        <w:t xml:space="preserve"> CKRT </w:t>
      </w:r>
      <w:r w:rsidRPr="00110337">
        <w:rPr>
          <w:rFonts w:asciiTheme="minorBidi" w:hAnsiTheme="minorBidi"/>
          <w:sz w:val="24"/>
          <w:szCs w:val="24"/>
          <w:rtl/>
        </w:rPr>
        <w:t>بجرعات مرتفعة، قد يبدأ</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Pr>
        <w:t xml:space="preserve"> </w:t>
      </w:r>
      <w:r w:rsidRPr="00110337">
        <w:rPr>
          <w:rFonts w:asciiTheme="minorBidi" w:hAnsiTheme="minorBidi"/>
          <w:sz w:val="24"/>
          <w:szCs w:val="24"/>
          <w:rtl/>
        </w:rPr>
        <w:t>بالتأثير في التصفية. وفي هذه الحالات، يلزم وجود</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Pr>
        <w:t xml:space="preserve"> </w:t>
      </w:r>
      <w:r w:rsidRPr="00110337">
        <w:rPr>
          <w:rFonts w:asciiTheme="minorBidi" w:hAnsiTheme="minorBidi"/>
          <w:sz w:val="24"/>
          <w:szCs w:val="24"/>
          <w:rtl/>
        </w:rPr>
        <w:t>كافٍ بالنسبة إلى</w:t>
      </w:r>
      <w:r w:rsidRPr="00110337">
        <w:rPr>
          <w:rFonts w:asciiTheme="minorBidi" w:hAnsiTheme="minorBidi"/>
          <w:sz w:val="24"/>
          <w:szCs w:val="24"/>
        </w:rPr>
        <w:t xml:space="preserve"> </w:t>
      </w:r>
      <w:proofErr w:type="spellStart"/>
      <w:r w:rsidRPr="00110337">
        <w:rPr>
          <w:rFonts w:asciiTheme="minorBidi" w:hAnsiTheme="minorBidi"/>
          <w:sz w:val="24"/>
          <w:szCs w:val="24"/>
        </w:rPr>
        <w:t>Qd</w:t>
      </w:r>
      <w:proofErr w:type="spellEnd"/>
      <w:r w:rsidRPr="00110337">
        <w:rPr>
          <w:rFonts w:asciiTheme="minorBidi" w:hAnsiTheme="minorBidi"/>
          <w:sz w:val="24"/>
          <w:szCs w:val="24"/>
        </w:rPr>
        <w:t xml:space="preserve"> </w:t>
      </w:r>
      <w:r w:rsidRPr="00110337">
        <w:rPr>
          <w:rFonts w:asciiTheme="minorBidi" w:hAnsiTheme="minorBidi"/>
          <w:sz w:val="24"/>
          <w:szCs w:val="24"/>
          <w:rtl/>
        </w:rPr>
        <w:t>أو</w:t>
      </w:r>
      <w:r w:rsidRPr="00110337">
        <w:rPr>
          <w:rFonts w:asciiTheme="minorBidi" w:hAnsiTheme="minorBidi"/>
          <w:sz w:val="24"/>
          <w:szCs w:val="24"/>
        </w:rPr>
        <w:t xml:space="preserve"> </w:t>
      </w:r>
      <w:proofErr w:type="spellStart"/>
      <w:r w:rsidRPr="00110337">
        <w:rPr>
          <w:rFonts w:asciiTheme="minorBidi" w:hAnsiTheme="minorBidi"/>
          <w:sz w:val="24"/>
          <w:szCs w:val="24"/>
        </w:rPr>
        <w:t>Qr,pre</w:t>
      </w:r>
      <w:proofErr w:type="spellEnd"/>
      <w:r w:rsidRPr="00110337">
        <w:rPr>
          <w:rFonts w:asciiTheme="minorBidi" w:hAnsiTheme="minorBidi"/>
          <w:sz w:val="24"/>
          <w:szCs w:val="24"/>
        </w:rPr>
        <w:t xml:space="preserve"> </w:t>
      </w:r>
      <w:r w:rsidRPr="00110337">
        <w:rPr>
          <w:rFonts w:asciiTheme="minorBidi" w:hAnsiTheme="minorBidi"/>
          <w:sz w:val="24"/>
          <w:szCs w:val="24"/>
          <w:rtl/>
        </w:rPr>
        <w:t xml:space="preserve">للحفاظ على إزالة عالية الكفاءة </w:t>
      </w:r>
      <w:r>
        <w:rPr>
          <w:rFonts w:asciiTheme="minorBidi" w:hAnsiTheme="minorBidi" w:hint="cs"/>
          <w:sz w:val="24"/>
          <w:szCs w:val="24"/>
          <w:rtl/>
        </w:rPr>
        <w:t>للمواد المذابة.</w:t>
      </w:r>
    </w:p>
    <w:p w14:paraId="7273A84B"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وبخلاف ذلك، فإن الحفاظ على</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Pr>
        <w:t xml:space="preserve"> </w:t>
      </w:r>
      <w:r w:rsidRPr="00110337">
        <w:rPr>
          <w:rFonts w:asciiTheme="minorBidi" w:hAnsiTheme="minorBidi"/>
          <w:sz w:val="24"/>
          <w:szCs w:val="24"/>
          <w:rtl/>
        </w:rPr>
        <w:t>مناسب ضروري للوقاية من تخثّر مرشح الدم</w:t>
      </w:r>
      <w:r w:rsidRPr="00110337">
        <w:rPr>
          <w:rFonts w:asciiTheme="minorBidi" w:hAnsiTheme="minorBidi"/>
          <w:sz w:val="24"/>
          <w:szCs w:val="24"/>
        </w:rPr>
        <w:t>.</w:t>
      </w:r>
    </w:p>
    <w:p w14:paraId="249495BB" w14:textId="006C8C5E" w:rsidR="00E7037A" w:rsidRPr="00110337" w:rsidRDefault="00E7037A" w:rsidP="00632F50">
      <w:pPr>
        <w:bidi/>
        <w:spacing w:after="0"/>
        <w:rPr>
          <w:rFonts w:asciiTheme="minorBidi" w:hAnsiTheme="minorBidi"/>
          <w:sz w:val="24"/>
          <w:szCs w:val="24"/>
          <w:rtl/>
        </w:rPr>
      </w:pPr>
      <w:r w:rsidRPr="00110337">
        <w:rPr>
          <w:rFonts w:asciiTheme="minorBidi" w:hAnsiTheme="minorBidi"/>
          <w:sz w:val="24"/>
          <w:szCs w:val="24"/>
          <w:rtl/>
        </w:rPr>
        <w:lastRenderedPageBreak/>
        <w:t>ورغم أن زيادة</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Pr>
        <w:t xml:space="preserve"> </w:t>
      </w:r>
      <w:r w:rsidRPr="00110337">
        <w:rPr>
          <w:rFonts w:asciiTheme="minorBidi" w:hAnsiTheme="minorBidi"/>
          <w:sz w:val="24"/>
          <w:szCs w:val="24"/>
          <w:rtl/>
        </w:rPr>
        <w:t>ستؤدي دائمًا، من الناحية الرياضية، إلى خفض الكسر الترشيحي</w:t>
      </w:r>
      <w:r>
        <w:rPr>
          <w:rFonts w:asciiTheme="minorBidi" w:hAnsiTheme="minorBidi" w:hint="cs"/>
          <w:sz w:val="24"/>
          <w:szCs w:val="24"/>
          <w:rtl/>
        </w:rPr>
        <w:t xml:space="preserve"> </w:t>
      </w:r>
      <w:r w:rsidRPr="00110337">
        <w:rPr>
          <w:rFonts w:asciiTheme="minorBidi" w:hAnsiTheme="minorBidi"/>
          <w:sz w:val="24"/>
          <w:szCs w:val="24"/>
        </w:rPr>
        <w:t xml:space="preserve"> (Filtration Fraction, FF)</w:t>
      </w:r>
      <w:r w:rsidRPr="00110337">
        <w:rPr>
          <w:rFonts w:asciiTheme="minorBidi" w:hAnsiTheme="minorBidi"/>
          <w:sz w:val="24"/>
          <w:szCs w:val="24"/>
          <w:rtl/>
        </w:rPr>
        <w:t xml:space="preserve">، فإن الفائدة المحتملة لإطالة عمر </w:t>
      </w:r>
      <w:r>
        <w:rPr>
          <w:rFonts w:asciiTheme="minorBidi" w:hAnsiTheme="minorBidi" w:hint="cs"/>
          <w:sz w:val="24"/>
          <w:szCs w:val="24"/>
          <w:rtl/>
        </w:rPr>
        <w:t>الفلتر</w:t>
      </w:r>
      <w:r w:rsidRPr="00110337">
        <w:rPr>
          <w:rFonts w:asciiTheme="minorBidi" w:hAnsiTheme="minorBidi"/>
          <w:sz w:val="24"/>
          <w:szCs w:val="24"/>
          <w:rtl/>
        </w:rPr>
        <w:t xml:space="preserve"> تبدأ بالتناقص مع الزيادات الإضافية في</w:t>
      </w:r>
      <w:r>
        <w:rPr>
          <w:rFonts w:asciiTheme="minorBidi" w:hAnsiTheme="minorBidi" w:hint="cs"/>
          <w:sz w:val="24"/>
          <w:szCs w:val="24"/>
          <w:rtl/>
        </w:rPr>
        <w:t xml:space="preserve"> </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tl/>
        </w:rPr>
        <w:t>، وعلى الأرجح عندما يتجاوز نحو</w:t>
      </w:r>
      <w:r w:rsidR="00632F50">
        <w:rPr>
          <w:rFonts w:asciiTheme="minorBidi" w:hAnsiTheme="minorBidi" w:hint="cs"/>
          <w:sz w:val="24"/>
          <w:szCs w:val="24"/>
          <w:rtl/>
        </w:rPr>
        <w:t xml:space="preserve"> </w:t>
      </w:r>
      <w:r w:rsidRPr="00110337">
        <w:rPr>
          <w:rFonts w:asciiTheme="minorBidi" w:hAnsiTheme="minorBidi"/>
          <w:sz w:val="24"/>
          <w:szCs w:val="24"/>
        </w:rPr>
        <w:t>250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مل/دقيقة</w:t>
      </w:r>
      <w:r w:rsidRPr="00110337">
        <w:rPr>
          <w:rFonts w:asciiTheme="minorBidi" w:hAnsiTheme="minorBidi"/>
          <w:sz w:val="24"/>
          <w:szCs w:val="24"/>
        </w:rPr>
        <w:t>.</w:t>
      </w:r>
    </w:p>
    <w:p w14:paraId="5A8DD9D2" w14:textId="77777777" w:rsidR="00632F50" w:rsidRDefault="00632F50" w:rsidP="00E7037A">
      <w:pPr>
        <w:bidi/>
        <w:spacing w:after="0"/>
        <w:rPr>
          <w:rFonts w:asciiTheme="minorBidi" w:hAnsiTheme="minorBidi"/>
          <w:sz w:val="24"/>
          <w:szCs w:val="24"/>
          <w:rtl/>
        </w:rPr>
      </w:pPr>
    </w:p>
    <w:p w14:paraId="7340FB9A" w14:textId="5F51A759" w:rsidR="00E7037A" w:rsidRPr="00110337" w:rsidRDefault="00E7037A" w:rsidP="00632F50">
      <w:pPr>
        <w:bidi/>
        <w:spacing w:after="0"/>
        <w:rPr>
          <w:rFonts w:asciiTheme="minorBidi" w:hAnsiTheme="minorBidi"/>
          <w:sz w:val="24"/>
          <w:szCs w:val="24"/>
          <w:rtl/>
        </w:rPr>
      </w:pPr>
      <w:r w:rsidRPr="00110337">
        <w:rPr>
          <w:rFonts w:asciiTheme="minorBidi" w:hAnsiTheme="minorBidi"/>
          <w:sz w:val="24"/>
          <w:szCs w:val="24"/>
          <w:rtl/>
        </w:rPr>
        <w:t>فعلى سبيل المثال، قامت إحدى التجارب بتوزيع 100 مريض يتلقون</w:t>
      </w:r>
      <w:r w:rsidRPr="00110337">
        <w:rPr>
          <w:rFonts w:asciiTheme="minorBidi" w:hAnsiTheme="minorBidi"/>
          <w:sz w:val="24"/>
          <w:szCs w:val="24"/>
        </w:rPr>
        <w:t xml:space="preserve"> CKRT </w:t>
      </w:r>
      <w:r w:rsidRPr="00110337">
        <w:rPr>
          <w:rFonts w:asciiTheme="minorBidi" w:hAnsiTheme="minorBidi"/>
          <w:sz w:val="24"/>
          <w:szCs w:val="24"/>
          <w:rtl/>
        </w:rPr>
        <w:t>إما دون مضاد تخثر أو مع الهيبارين، بصورة عشوائية إلى معدل تدفق دم</w:t>
      </w:r>
      <w:r>
        <w:rPr>
          <w:rFonts w:asciiTheme="minorBidi" w:hAnsiTheme="minorBidi" w:hint="cs"/>
          <w:sz w:val="24"/>
          <w:szCs w:val="24"/>
          <w:rtl/>
        </w:rPr>
        <w:t xml:space="preserve"> </w:t>
      </w:r>
      <w:r w:rsidRPr="00110337">
        <w:rPr>
          <w:rFonts w:asciiTheme="minorBidi" w:hAnsiTheme="minorBidi"/>
          <w:sz w:val="24"/>
          <w:szCs w:val="24"/>
        </w:rPr>
        <w:t>150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مل/دقيقة</w:t>
      </w:r>
      <w:r>
        <w:rPr>
          <w:rFonts w:asciiTheme="minorBidi" w:hAnsiTheme="minorBidi" w:hint="cs"/>
          <w:sz w:val="24"/>
          <w:szCs w:val="24"/>
          <w:rtl/>
        </w:rPr>
        <w:t xml:space="preserve"> </w:t>
      </w:r>
      <w:r w:rsidRPr="00110337">
        <w:rPr>
          <w:rFonts w:asciiTheme="minorBidi" w:hAnsiTheme="minorBidi"/>
          <w:sz w:val="24"/>
          <w:szCs w:val="24"/>
          <w:rtl/>
        </w:rPr>
        <w:t>أو</w:t>
      </w:r>
      <w:r>
        <w:rPr>
          <w:rFonts w:asciiTheme="minorBidi" w:hAnsiTheme="minorBidi" w:hint="cs"/>
          <w:sz w:val="24"/>
          <w:szCs w:val="24"/>
          <w:rtl/>
        </w:rPr>
        <w:t xml:space="preserve"> </w:t>
      </w:r>
      <w:r w:rsidRPr="00110337">
        <w:rPr>
          <w:rFonts w:asciiTheme="minorBidi" w:hAnsiTheme="minorBidi"/>
          <w:sz w:val="24"/>
          <w:szCs w:val="24"/>
        </w:rPr>
        <w:t>250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مل/دقيقة</w:t>
      </w:r>
    </w:p>
    <w:p w14:paraId="1F012687"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 xml:space="preserve">ولم تجد الدراسة فرقًا في عمر </w:t>
      </w:r>
      <w:r>
        <w:rPr>
          <w:rFonts w:asciiTheme="minorBidi" w:hAnsiTheme="minorBidi" w:hint="cs"/>
          <w:sz w:val="24"/>
          <w:szCs w:val="24"/>
          <w:rtl/>
        </w:rPr>
        <w:t>الفلتر</w:t>
      </w:r>
      <w:r w:rsidRPr="00110337">
        <w:rPr>
          <w:rFonts w:asciiTheme="minorBidi" w:hAnsiTheme="minorBidi"/>
          <w:sz w:val="24"/>
          <w:szCs w:val="24"/>
          <w:rtl/>
        </w:rPr>
        <w:t xml:space="preserve"> بين المجموعتين</w:t>
      </w:r>
      <w:r w:rsidRPr="00110337">
        <w:rPr>
          <w:rFonts w:asciiTheme="minorBidi" w:hAnsiTheme="minorBidi"/>
          <w:sz w:val="24"/>
          <w:szCs w:val="24"/>
        </w:rPr>
        <w:t>.</w:t>
      </w:r>
    </w:p>
    <w:p w14:paraId="0A2FCBF5"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ويُحتمل أن يعود ذلك إلى أن زيادة</w:t>
      </w:r>
      <w:r>
        <w:rPr>
          <w:rFonts w:asciiTheme="minorBidi" w:hAnsiTheme="minorBidi" w:hint="cs"/>
          <w:sz w:val="24"/>
          <w:szCs w:val="24"/>
          <w:rtl/>
        </w:rPr>
        <w:t xml:space="preserve"> </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tl/>
        </w:rPr>
        <w:t>، عند وجود مقاومة ثابتة في الدارة، تزيد أيضًا من خطر حدوث إنذارات الضغط</w:t>
      </w:r>
      <w:r>
        <w:rPr>
          <w:rFonts w:asciiTheme="minorBidi" w:hAnsiTheme="minorBidi" w:hint="cs"/>
          <w:sz w:val="24"/>
          <w:szCs w:val="24"/>
          <w:rtl/>
        </w:rPr>
        <w:t xml:space="preserve"> ، </w:t>
      </w:r>
      <w:r w:rsidRPr="00110337">
        <w:rPr>
          <w:rFonts w:asciiTheme="minorBidi" w:hAnsiTheme="minorBidi"/>
          <w:sz w:val="24"/>
          <w:szCs w:val="24"/>
          <w:rtl/>
        </w:rPr>
        <w:t xml:space="preserve">وتؤدي إنذارات الضغط هذه إلى توقف مضخة الدم أو خفض سرعتها، وهو ما قد يعزز تخثّر </w:t>
      </w:r>
      <w:r>
        <w:rPr>
          <w:rFonts w:asciiTheme="minorBidi" w:hAnsiTheme="minorBidi" w:hint="cs"/>
          <w:sz w:val="24"/>
          <w:szCs w:val="24"/>
          <w:rtl/>
        </w:rPr>
        <w:t>الفلتر</w:t>
      </w:r>
      <w:r w:rsidRPr="00110337">
        <w:rPr>
          <w:rFonts w:asciiTheme="minorBidi" w:hAnsiTheme="minorBidi"/>
          <w:sz w:val="24"/>
          <w:szCs w:val="24"/>
          <w:rtl/>
        </w:rPr>
        <w:t xml:space="preserve"> إذا تكرر حدوثه</w:t>
      </w:r>
      <w:r>
        <w:rPr>
          <w:rFonts w:asciiTheme="minorBidi" w:hAnsiTheme="minorBidi" w:hint="cs"/>
          <w:sz w:val="24"/>
          <w:szCs w:val="24"/>
          <w:rtl/>
        </w:rPr>
        <w:t>.</w:t>
      </w:r>
    </w:p>
    <w:p w14:paraId="66B03158" w14:textId="77777777" w:rsidR="00E7037A" w:rsidRDefault="00E7037A" w:rsidP="00E7037A">
      <w:pPr>
        <w:bidi/>
        <w:spacing w:after="0"/>
        <w:rPr>
          <w:rFonts w:asciiTheme="minorBidi" w:hAnsiTheme="minorBidi"/>
          <w:sz w:val="24"/>
          <w:szCs w:val="24"/>
          <w:rtl/>
        </w:rPr>
      </w:pPr>
    </w:p>
    <w:p w14:paraId="1061F7C8" w14:textId="77777777" w:rsidR="00E7037A" w:rsidRPr="00146171" w:rsidRDefault="00E7037A" w:rsidP="00E7037A">
      <w:pPr>
        <w:bidi/>
        <w:spacing w:after="0"/>
        <w:rPr>
          <w:rFonts w:asciiTheme="minorBidi" w:hAnsiTheme="minorBidi"/>
          <w:b/>
          <w:bCs/>
          <w:sz w:val="24"/>
          <w:szCs w:val="24"/>
          <w:rtl/>
        </w:rPr>
      </w:pPr>
      <w:r w:rsidRPr="00146171">
        <w:rPr>
          <w:rFonts w:asciiTheme="minorBidi" w:hAnsiTheme="minorBidi" w:hint="cs"/>
          <w:b/>
          <w:bCs/>
          <w:sz w:val="24"/>
          <w:szCs w:val="24"/>
          <w:rtl/>
        </w:rPr>
        <w:t xml:space="preserve">الـ </w:t>
      </w:r>
      <w:proofErr w:type="spellStart"/>
      <w:r w:rsidRPr="00146171">
        <w:rPr>
          <w:rFonts w:asciiTheme="minorBidi" w:hAnsiTheme="minorBidi"/>
          <w:b/>
          <w:bCs/>
          <w:sz w:val="24"/>
          <w:szCs w:val="24"/>
        </w:rPr>
        <w:t>Qb</w:t>
      </w:r>
      <w:proofErr w:type="spellEnd"/>
      <w:r w:rsidRPr="00146171">
        <w:rPr>
          <w:rFonts w:asciiTheme="minorBidi" w:hAnsiTheme="minorBidi" w:hint="cs"/>
          <w:b/>
          <w:bCs/>
          <w:sz w:val="24"/>
          <w:szCs w:val="24"/>
          <w:rtl/>
        </w:rPr>
        <w:t xml:space="preserve"> عن</w:t>
      </w:r>
      <w:r w:rsidRPr="00146171">
        <w:rPr>
          <w:rFonts w:asciiTheme="minorBidi" w:hAnsiTheme="minorBidi"/>
          <w:b/>
          <w:bCs/>
          <w:sz w:val="24"/>
          <w:szCs w:val="24"/>
          <w:rtl/>
        </w:rPr>
        <w:t>د استخدام</w:t>
      </w:r>
      <w:r w:rsidRPr="00146171">
        <w:rPr>
          <w:rFonts w:asciiTheme="minorBidi" w:hAnsiTheme="minorBidi" w:hint="cs"/>
          <w:b/>
          <w:bCs/>
          <w:sz w:val="24"/>
          <w:szCs w:val="24"/>
          <w:rtl/>
        </w:rPr>
        <w:t xml:space="preserve"> السترات كـ</w:t>
      </w:r>
      <w:r w:rsidRPr="00146171">
        <w:rPr>
          <w:rFonts w:asciiTheme="minorBidi" w:hAnsiTheme="minorBidi"/>
          <w:b/>
          <w:bCs/>
          <w:sz w:val="24"/>
          <w:szCs w:val="24"/>
          <w:rtl/>
        </w:rPr>
        <w:t xml:space="preserve"> مضاد تخثر </w:t>
      </w:r>
      <w:r w:rsidRPr="00146171">
        <w:rPr>
          <w:rFonts w:asciiTheme="minorBidi" w:hAnsiTheme="minorBidi"/>
          <w:b/>
          <w:bCs/>
          <w:sz w:val="24"/>
          <w:szCs w:val="24"/>
        </w:rPr>
        <w:t xml:space="preserve"> RCA</w:t>
      </w:r>
    </w:p>
    <w:p w14:paraId="196B5BF8"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 xml:space="preserve">عند استخدام </w:t>
      </w:r>
      <w:r>
        <w:rPr>
          <w:rFonts w:asciiTheme="minorBidi" w:hAnsiTheme="minorBidi" w:hint="cs"/>
          <w:sz w:val="24"/>
          <w:szCs w:val="24"/>
          <w:rtl/>
        </w:rPr>
        <w:t>السترات ك</w:t>
      </w:r>
      <w:r w:rsidRPr="00110337">
        <w:rPr>
          <w:rFonts w:asciiTheme="minorBidi" w:hAnsiTheme="minorBidi"/>
          <w:sz w:val="24"/>
          <w:szCs w:val="24"/>
          <w:rtl/>
        </w:rPr>
        <w:t xml:space="preserve">مضاد تخثر </w:t>
      </w:r>
      <w:r w:rsidRPr="00110337">
        <w:rPr>
          <w:rFonts w:asciiTheme="minorBidi" w:hAnsiTheme="minorBidi"/>
          <w:sz w:val="24"/>
          <w:szCs w:val="24"/>
        </w:rPr>
        <w:t xml:space="preserve"> (Regional Citrate Anticoagulation, RCA)</w:t>
      </w:r>
      <w:r w:rsidRPr="00110337">
        <w:rPr>
          <w:rFonts w:asciiTheme="minorBidi" w:hAnsiTheme="minorBidi"/>
          <w:sz w:val="24"/>
          <w:szCs w:val="24"/>
          <w:rtl/>
        </w:rPr>
        <w:t>، يُوصى عمومًا باستخدام معدل تدفق دم أقل، مثل</w:t>
      </w:r>
      <w:r>
        <w:rPr>
          <w:rFonts w:asciiTheme="minorBidi" w:hAnsiTheme="minorBidi" w:hint="cs"/>
          <w:sz w:val="24"/>
          <w:szCs w:val="24"/>
          <w:rtl/>
        </w:rPr>
        <w:t xml:space="preserve"> </w:t>
      </w:r>
      <w:r w:rsidRPr="00110337">
        <w:rPr>
          <w:rFonts w:asciiTheme="minorBidi" w:hAnsiTheme="minorBidi"/>
          <w:sz w:val="24"/>
          <w:szCs w:val="24"/>
        </w:rPr>
        <w:t>120–150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مل/دقيقة</w:t>
      </w:r>
      <w:r>
        <w:rPr>
          <w:rFonts w:asciiTheme="minorBidi" w:hAnsiTheme="minorBidi" w:hint="cs"/>
          <w:sz w:val="24"/>
          <w:szCs w:val="24"/>
          <w:rtl/>
        </w:rPr>
        <w:t>.</w:t>
      </w:r>
    </w:p>
    <w:p w14:paraId="46B4084B" w14:textId="77777777" w:rsidR="00E7037A" w:rsidRPr="00110337" w:rsidRDefault="00E7037A" w:rsidP="00E7037A">
      <w:pPr>
        <w:bidi/>
        <w:spacing w:after="0"/>
        <w:rPr>
          <w:rFonts w:asciiTheme="minorBidi" w:hAnsiTheme="minorBidi"/>
          <w:sz w:val="24"/>
          <w:szCs w:val="24"/>
          <w:rtl/>
        </w:rPr>
      </w:pPr>
      <w:r w:rsidRPr="00110337">
        <w:rPr>
          <w:rFonts w:asciiTheme="minorBidi" w:hAnsiTheme="minorBidi"/>
          <w:sz w:val="24"/>
          <w:szCs w:val="24"/>
          <w:rtl/>
        </w:rPr>
        <w:t>ويرجع ذلك إلى سببين رئيسيين</w:t>
      </w:r>
      <w:r w:rsidRPr="00110337">
        <w:rPr>
          <w:rFonts w:asciiTheme="minorBidi" w:hAnsiTheme="minorBidi"/>
          <w:sz w:val="24"/>
          <w:szCs w:val="24"/>
        </w:rPr>
        <w:t>:</w:t>
      </w:r>
    </w:p>
    <w:p w14:paraId="03AEFEDD" w14:textId="77777777" w:rsidR="00E7037A" w:rsidRPr="00110337" w:rsidRDefault="00E7037A" w:rsidP="00E7037A">
      <w:pPr>
        <w:bidi/>
        <w:spacing w:after="0"/>
        <w:rPr>
          <w:rFonts w:asciiTheme="minorBidi" w:hAnsiTheme="minorBidi"/>
          <w:sz w:val="24"/>
          <w:szCs w:val="24"/>
          <w:rtl/>
        </w:rPr>
      </w:pPr>
      <w:r>
        <w:rPr>
          <w:rFonts w:asciiTheme="minorBidi" w:hAnsiTheme="minorBidi" w:hint="cs"/>
          <w:sz w:val="24"/>
          <w:szCs w:val="24"/>
          <w:rtl/>
        </w:rPr>
        <w:t>ـ إ</w:t>
      </w:r>
      <w:r w:rsidRPr="00110337">
        <w:rPr>
          <w:rFonts w:asciiTheme="minorBidi" w:hAnsiTheme="minorBidi"/>
          <w:sz w:val="24"/>
          <w:szCs w:val="24"/>
          <w:rtl/>
        </w:rPr>
        <w:t>ن خفض</w:t>
      </w:r>
      <w:r>
        <w:rPr>
          <w:rFonts w:asciiTheme="minorBidi" w:hAnsiTheme="minorBidi" w:hint="cs"/>
          <w:sz w:val="24"/>
          <w:szCs w:val="24"/>
          <w:rtl/>
        </w:rPr>
        <w:t xml:space="preserve"> الـ </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Pr>
        <w:t xml:space="preserve"> </w:t>
      </w:r>
      <w:r w:rsidRPr="00110337">
        <w:rPr>
          <w:rFonts w:asciiTheme="minorBidi" w:hAnsiTheme="minorBidi"/>
          <w:sz w:val="24"/>
          <w:szCs w:val="24"/>
          <w:rtl/>
        </w:rPr>
        <w:t>يقلل كمية السترات اللازمة للحفاظ على مضاد تخثر كافٍ، وبالتالي يقلل خطر المضاعفات الاستقلابية المرتبطة بـ</w:t>
      </w:r>
      <w:r w:rsidRPr="00110337">
        <w:rPr>
          <w:rFonts w:asciiTheme="minorBidi" w:hAnsiTheme="minorBidi"/>
          <w:sz w:val="24"/>
          <w:szCs w:val="24"/>
        </w:rPr>
        <w:t xml:space="preserve"> </w:t>
      </w:r>
      <w:r>
        <w:rPr>
          <w:rFonts w:asciiTheme="minorBidi" w:hAnsiTheme="minorBidi" w:hint="cs"/>
          <w:sz w:val="24"/>
          <w:szCs w:val="24"/>
          <w:rtl/>
        </w:rPr>
        <w:t xml:space="preserve"> </w:t>
      </w:r>
      <w:r w:rsidRPr="00110337">
        <w:rPr>
          <w:rFonts w:asciiTheme="minorBidi" w:hAnsiTheme="minorBidi"/>
          <w:sz w:val="24"/>
          <w:szCs w:val="24"/>
        </w:rPr>
        <w:t>RCA</w:t>
      </w:r>
    </w:p>
    <w:p w14:paraId="48335E13" w14:textId="50288915" w:rsidR="00E7037A" w:rsidRDefault="00E7037A" w:rsidP="00632F50">
      <w:pPr>
        <w:bidi/>
        <w:spacing w:after="0"/>
        <w:rPr>
          <w:rtl/>
        </w:rPr>
      </w:pPr>
      <w:r>
        <w:rPr>
          <w:rFonts w:asciiTheme="minorBidi" w:hAnsiTheme="minorBidi" w:hint="cs"/>
          <w:sz w:val="24"/>
          <w:szCs w:val="24"/>
          <w:rtl/>
        </w:rPr>
        <w:t>ـ إ</w:t>
      </w:r>
      <w:r w:rsidRPr="00110337">
        <w:rPr>
          <w:rFonts w:asciiTheme="minorBidi" w:hAnsiTheme="minorBidi"/>
          <w:sz w:val="24"/>
          <w:szCs w:val="24"/>
          <w:rtl/>
        </w:rPr>
        <w:t>ن</w:t>
      </w:r>
      <w:r>
        <w:rPr>
          <w:rFonts w:asciiTheme="minorBidi" w:hAnsiTheme="minorBidi" w:hint="cs"/>
          <w:sz w:val="24"/>
          <w:szCs w:val="24"/>
          <w:rtl/>
        </w:rPr>
        <w:t xml:space="preserve"> الـ</w:t>
      </w:r>
      <w:r w:rsidRPr="00110337">
        <w:rPr>
          <w:rFonts w:asciiTheme="minorBidi" w:hAnsiTheme="minorBidi"/>
          <w:sz w:val="24"/>
          <w:szCs w:val="24"/>
        </w:rPr>
        <w:t xml:space="preserve"> RCA </w:t>
      </w:r>
      <w:r w:rsidRPr="00110337">
        <w:rPr>
          <w:rFonts w:asciiTheme="minorBidi" w:hAnsiTheme="minorBidi"/>
          <w:sz w:val="24"/>
          <w:szCs w:val="24"/>
          <w:rtl/>
        </w:rPr>
        <w:t>فعّال بدرجة تكفي للحفاظ على بقاء ال</w:t>
      </w:r>
      <w:r>
        <w:rPr>
          <w:rFonts w:asciiTheme="minorBidi" w:hAnsiTheme="minorBidi" w:hint="cs"/>
          <w:sz w:val="24"/>
          <w:szCs w:val="24"/>
          <w:rtl/>
        </w:rPr>
        <w:t>فلتر</w:t>
      </w:r>
      <w:r w:rsidRPr="00110337">
        <w:rPr>
          <w:rFonts w:asciiTheme="minorBidi" w:hAnsiTheme="minorBidi"/>
          <w:sz w:val="24"/>
          <w:szCs w:val="24"/>
          <w:rtl/>
        </w:rPr>
        <w:t xml:space="preserve"> مفتوحًا حتى عند استخدام</w:t>
      </w:r>
      <w:r w:rsidRPr="00110337">
        <w:rPr>
          <w:rFonts w:asciiTheme="minorBidi" w:hAnsiTheme="minorBidi"/>
          <w:sz w:val="24"/>
          <w:szCs w:val="24"/>
        </w:rPr>
        <w:t xml:space="preserve"> </w:t>
      </w:r>
      <w:proofErr w:type="spellStart"/>
      <w:r w:rsidRPr="00110337">
        <w:rPr>
          <w:rFonts w:asciiTheme="minorBidi" w:hAnsiTheme="minorBidi"/>
          <w:sz w:val="24"/>
          <w:szCs w:val="24"/>
        </w:rPr>
        <w:t>Qb</w:t>
      </w:r>
      <w:proofErr w:type="spellEnd"/>
      <w:r w:rsidRPr="00110337">
        <w:rPr>
          <w:rFonts w:asciiTheme="minorBidi" w:hAnsiTheme="minorBidi"/>
          <w:sz w:val="24"/>
          <w:szCs w:val="24"/>
        </w:rPr>
        <w:t xml:space="preserve"> </w:t>
      </w:r>
      <w:r w:rsidRPr="00110337">
        <w:rPr>
          <w:rFonts w:asciiTheme="minorBidi" w:hAnsiTheme="minorBidi"/>
          <w:sz w:val="24"/>
          <w:szCs w:val="24"/>
          <w:rtl/>
        </w:rPr>
        <w:t>منخفض نسبيًا</w:t>
      </w:r>
      <w:r w:rsidRPr="00110337">
        <w:rPr>
          <w:rFonts w:asciiTheme="minorBidi" w:hAnsiTheme="minorBidi"/>
          <w:sz w:val="24"/>
          <w:szCs w:val="24"/>
        </w:rPr>
        <w:t>.</w:t>
      </w:r>
    </w:p>
    <w:p w14:paraId="5A2E3869" w14:textId="77777777" w:rsidR="00AC72DF" w:rsidRDefault="00000000" w:rsidP="00632F50">
      <w:pPr>
        <w:pStyle w:val="berschrift1"/>
        <w:spacing w:after="160" w:line="283" w:lineRule="auto"/>
      </w:pPr>
      <w:r>
        <w:rPr>
          <w:rFonts w:ascii="Arial" w:hAnsi="Arial" w:cs="Arial"/>
          <w:rtl/>
        </w:rPr>
        <w:t>المراجع</w:t>
      </w:r>
    </w:p>
    <w:p w14:paraId="3A36F015" w14:textId="77777777" w:rsidR="00AC72DF" w:rsidRDefault="00000000" w:rsidP="00632F50">
      <w:pPr>
        <w:spacing w:after="60" w:line="252" w:lineRule="auto"/>
      </w:pPr>
      <w:r>
        <w:rPr>
          <w:color w:val="263746"/>
          <w:sz w:val="18"/>
        </w:rPr>
        <w:t>[1] KDIGO. Clinical Practice Guideline for Acute Kidney Injury. Kidney Int Suppl. 2012;2:1–138. https://kdigo.org/wp-content/uploads/2016/10/KDIGO-2012-AKI-Guideline-English.pdf.</w:t>
      </w:r>
    </w:p>
    <w:p w14:paraId="68A52A98" w14:textId="77777777" w:rsidR="00AC72DF" w:rsidRDefault="00000000" w:rsidP="00632F50">
      <w:pPr>
        <w:spacing w:after="60" w:line="252" w:lineRule="auto"/>
      </w:pPr>
      <w:r>
        <w:rPr>
          <w:color w:val="263746"/>
          <w:sz w:val="18"/>
        </w:rPr>
        <w:t>[2] STARRT-AKI Investigators. Timing of Initiation of Renal-Replacement Therapy in Acute Kidney Injury. N Engl J Med. 2020;383:240–251. doi:10.1056/NEJMoa2000741.</w:t>
      </w:r>
    </w:p>
    <w:p w14:paraId="236008AD" w14:textId="77777777" w:rsidR="00AC72DF" w:rsidRDefault="00000000" w:rsidP="00632F50">
      <w:pPr>
        <w:spacing w:after="60" w:line="252" w:lineRule="auto"/>
      </w:pPr>
      <w:r>
        <w:rPr>
          <w:color w:val="263746"/>
          <w:sz w:val="18"/>
        </w:rPr>
        <w:t>[3] Gaudry S, et al. Initiation Strategies for Renal-Replacement Therapy in the Intensive Care Unit. N Engl J Med. 2016;375:122–133. doi:10.1056/NEJMoa1603017.</w:t>
      </w:r>
    </w:p>
    <w:p w14:paraId="36398733" w14:textId="77777777" w:rsidR="00AC72DF" w:rsidRDefault="00000000" w:rsidP="00632F50">
      <w:pPr>
        <w:spacing w:after="60" w:line="252" w:lineRule="auto"/>
      </w:pPr>
      <w:r>
        <w:rPr>
          <w:color w:val="263746"/>
          <w:sz w:val="18"/>
        </w:rPr>
        <w:t>[4] Barbar SD, et al. Timing of Renal-Replacement Therapy in Patients with Acute Kidney Injury and Sepsis. N Engl J Med. 2018;379:1431–1442. doi:10.1056/NEJMoa1803213.</w:t>
      </w:r>
    </w:p>
    <w:p w14:paraId="58048BC3" w14:textId="77777777" w:rsidR="00AC72DF" w:rsidRDefault="00000000" w:rsidP="00632F50">
      <w:pPr>
        <w:spacing w:after="60" w:line="252" w:lineRule="auto"/>
      </w:pPr>
      <w:r>
        <w:rPr>
          <w:color w:val="263746"/>
          <w:sz w:val="18"/>
        </w:rPr>
        <w:t>[5] Gaudry S, et al. Delayed versus more-delayed initiation of renal-replacement therapy for severe acute kidney injury (AKIKI 2). Lancet. 2021;397:1293–1300. doi:10.1016/S0140-6736(21)00350-0.</w:t>
      </w:r>
    </w:p>
    <w:p w14:paraId="4172A8AF" w14:textId="77777777" w:rsidR="00AC72DF" w:rsidRDefault="00000000" w:rsidP="00632F50">
      <w:pPr>
        <w:spacing w:after="60" w:line="252" w:lineRule="auto"/>
      </w:pPr>
      <w:r>
        <w:rPr>
          <w:color w:val="263746"/>
          <w:sz w:val="18"/>
        </w:rPr>
        <w:t>[6] Palevsky PM, et al. Intensity of Renal Support in Critically Ill Patients with Acute Kidney Injury. N Engl J Med. 2008;359:7–20. doi:10.1056/NEJMoa0802639.</w:t>
      </w:r>
    </w:p>
    <w:p w14:paraId="66BE0A2D" w14:textId="77777777" w:rsidR="00AC72DF" w:rsidRDefault="00000000" w:rsidP="00632F50">
      <w:pPr>
        <w:spacing w:after="60" w:line="252" w:lineRule="auto"/>
      </w:pPr>
      <w:r>
        <w:rPr>
          <w:color w:val="263746"/>
          <w:sz w:val="18"/>
        </w:rPr>
        <w:t>[7] Bellomo R, et al. Intensity of Continuous Renal-Replacement Therapy in Critically Ill Patients. N Engl J Med. 2009;361:1627–1638. doi:10.1056/NEJMoa0902413.</w:t>
      </w:r>
    </w:p>
    <w:p w14:paraId="239960ED" w14:textId="77777777" w:rsidR="00AC72DF" w:rsidRDefault="00000000" w:rsidP="00632F50">
      <w:pPr>
        <w:spacing w:after="60" w:line="252" w:lineRule="auto"/>
      </w:pPr>
      <w:r>
        <w:rPr>
          <w:color w:val="263746"/>
          <w:sz w:val="18"/>
        </w:rPr>
        <w:t>[8] EXTRIP Workgroup. Extracorporeal Treatment for Metformin Poisoning: Systematic Review and Recommendations. Crit Care Med. 2015;43(8):1716–1730. doi:10.1097/CCM.0000000000001002.</w:t>
      </w:r>
    </w:p>
    <w:sectPr w:rsidR="00AC72DF"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35FB1C81"/>
    <w:multiLevelType w:val="hybridMultilevel"/>
    <w:tmpl w:val="D5B888E4"/>
    <w:lvl w:ilvl="0" w:tplc="C70A3D10">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00870564">
    <w:abstractNumId w:val="8"/>
  </w:num>
  <w:num w:numId="2" w16cid:durableId="1290018175">
    <w:abstractNumId w:val="6"/>
  </w:num>
  <w:num w:numId="3" w16cid:durableId="743182385">
    <w:abstractNumId w:val="5"/>
  </w:num>
  <w:num w:numId="4" w16cid:durableId="2063677365">
    <w:abstractNumId w:val="4"/>
  </w:num>
  <w:num w:numId="5" w16cid:durableId="752043021">
    <w:abstractNumId w:val="7"/>
  </w:num>
  <w:num w:numId="6" w16cid:durableId="983588383">
    <w:abstractNumId w:val="3"/>
  </w:num>
  <w:num w:numId="7" w16cid:durableId="37974103">
    <w:abstractNumId w:val="2"/>
  </w:num>
  <w:num w:numId="8" w16cid:durableId="1630479449">
    <w:abstractNumId w:val="1"/>
  </w:num>
  <w:num w:numId="9" w16cid:durableId="1730155245">
    <w:abstractNumId w:val="0"/>
  </w:num>
  <w:num w:numId="10" w16cid:durableId="5897783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2DB9"/>
    <w:rsid w:val="0029639D"/>
    <w:rsid w:val="00326F90"/>
    <w:rsid w:val="005C682A"/>
    <w:rsid w:val="00632F50"/>
    <w:rsid w:val="00A22885"/>
    <w:rsid w:val="00AA1D8D"/>
    <w:rsid w:val="00AC72DF"/>
    <w:rsid w:val="00B47730"/>
    <w:rsid w:val="00CB0664"/>
    <w:rsid w:val="00E703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2F30AE"/>
  <w14:defaultImageDpi w14:val="300"/>
  <w15:docId w15:val="{0CFC6991-9BC8-40E0-BCCB-5CB9D2880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cs="Arial"/>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24D"/>
      <w:sz w:val="30"/>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149A91"/>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2004</Words>
  <Characters>12631</Characters>
  <Application>Microsoft Office Word</Application>
  <DocSecurity>0</DocSecurity>
  <Lines>105</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Mahmoud Alhariri</cp:lastModifiedBy>
  <cp:revision>2</cp:revision>
  <dcterms:created xsi:type="dcterms:W3CDTF">2013-12-23T23:15:00Z</dcterms:created>
  <dcterms:modified xsi:type="dcterms:W3CDTF">2026-10-03T13:45:00Z</dcterms:modified>
  <cp:category/>
</cp:coreProperties>
</file>