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0C4274" w14:textId="77777777" w:rsidR="009E31D7" w:rsidRDefault="00000000" w:rsidP="003600A9">
      <w:pPr>
        <w:pStyle w:val="Titel"/>
        <w:bidi/>
        <w:spacing w:after="80"/>
      </w:pPr>
      <w:r>
        <w:rPr>
          <w:rFonts w:ascii="Arial" w:hAnsi="Arial" w:cs="Arial"/>
          <w:b/>
          <w:color w:val="17324D"/>
          <w:sz w:val="44"/>
          <w:rtl/>
        </w:rPr>
        <w:t>الرعاية المتعددة التخصصات</w:t>
      </w:r>
    </w:p>
    <w:p w14:paraId="3A5E3B9A" w14:textId="77777777" w:rsidR="009E31D7" w:rsidRDefault="00000000" w:rsidP="003600A9">
      <w:pPr>
        <w:bidi/>
        <w:spacing w:after="240" w:line="283" w:lineRule="auto"/>
      </w:pPr>
      <w:r>
        <w:rPr>
          <w:b/>
          <w:color w:val="149A91"/>
          <w:sz w:val="24"/>
          <w:rtl/>
        </w:rPr>
        <w:t>رعاية المريض الذي يتلقى الغسيل الكلوي المستمر (CKRT)</w:t>
      </w:r>
    </w:p>
    <w:p w14:paraId="4C214628" w14:textId="77777777" w:rsidR="009E31D7" w:rsidRDefault="00000000" w:rsidP="003600A9">
      <w:pPr>
        <w:pStyle w:val="berschrift1"/>
        <w:bidi/>
        <w:spacing w:after="100" w:line="283" w:lineRule="auto"/>
      </w:pPr>
      <w:r>
        <w:rPr>
          <w:rFonts w:ascii="Arial" w:hAnsi="Arial" w:cs="Arial"/>
          <w:rtl/>
        </w:rPr>
        <w:t>تنسيق الفريق</w:t>
      </w:r>
    </w:p>
    <w:p w14:paraId="338D43C0" w14:textId="77777777" w:rsidR="009E31D7" w:rsidRDefault="00000000" w:rsidP="003600A9">
      <w:pPr>
        <w:bidi/>
        <w:spacing w:after="100" w:line="283" w:lineRule="auto"/>
      </w:pPr>
      <w:r>
        <w:rPr>
          <w:color w:val="263746"/>
          <w:rtl/>
        </w:rPr>
        <w:t>تتطلب رعاية CKRT تنسيقًا بين طب العناية المركزة وأمراض الكلى والتمريض والصيدلة والتغذية والعلاج الطبيعي. وتشمل المراجعة اليومية وصفة العلاج، ووظيفة الوصول، والجرعة المحققة، والسوائل، والشوارد، والأدوية، والتغذية والحركة بحسب حالة المريض [2،3].</w:t>
      </w:r>
    </w:p>
    <w:p w14:paraId="4D6CE0B6" w14:textId="77777777" w:rsidR="009E31D7" w:rsidRDefault="00000000" w:rsidP="003600A9">
      <w:pPr>
        <w:pStyle w:val="berschrift1"/>
        <w:bidi/>
        <w:spacing w:after="100" w:line="283" w:lineRule="auto"/>
      </w:pPr>
      <w:r>
        <w:rPr>
          <w:rFonts w:ascii="Arial" w:hAnsi="Arial" w:cs="Arial"/>
          <w:rtl/>
        </w:rPr>
        <w:t>جرعات الأدوية</w:t>
      </w:r>
    </w:p>
    <w:p w14:paraId="64F5764A" w14:textId="77777777" w:rsidR="009E31D7" w:rsidRDefault="00000000" w:rsidP="003600A9">
      <w:pPr>
        <w:bidi/>
        <w:spacing w:after="100" w:line="283" w:lineRule="auto"/>
        <w:rPr>
          <w:color w:val="263746"/>
          <w:rtl/>
        </w:rPr>
      </w:pPr>
      <w:r>
        <w:rPr>
          <w:color w:val="263746"/>
          <w:rtl/>
        </w:rPr>
        <w:t>تتأثر إزالة الدواء أثناء CKRT بخصائص الدواء، والجرعة ومعدل التدفق، وارتباطه بالبروتين، وحجم توزيعه، وخصائص الغشاء، والوظيفة الكلوية المتبقية، وفترات انقطاع العلاج. لذلك لا توجد قاعدة واحدة تصلح لرفع أو خفض جميع جرعات الأدوية [2].</w:t>
      </w:r>
    </w:p>
    <w:p w14:paraId="258E4506" w14:textId="30DB3368"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و بشكل عام ، </w:t>
      </w:r>
      <w:r w:rsidRPr="00110337">
        <w:rPr>
          <w:rFonts w:asciiTheme="minorBidi" w:hAnsiTheme="minorBidi"/>
          <w:sz w:val="24"/>
          <w:szCs w:val="24"/>
          <w:rtl/>
        </w:rPr>
        <w:t>على الرغم من وجود تفاوت بين المرضى، فإن العلاج المستمر بالإحلال الكلوي</w:t>
      </w:r>
      <w:r w:rsidRPr="00110337">
        <w:rPr>
          <w:rFonts w:asciiTheme="minorBidi" w:hAnsiTheme="minorBidi"/>
          <w:sz w:val="24"/>
          <w:szCs w:val="24"/>
        </w:rPr>
        <w:t xml:space="preserve"> (CKRT) </w:t>
      </w:r>
      <w:r w:rsidRPr="00110337">
        <w:rPr>
          <w:rFonts w:asciiTheme="minorBidi" w:hAnsiTheme="minorBidi"/>
          <w:sz w:val="24"/>
          <w:szCs w:val="24"/>
          <w:rtl/>
        </w:rPr>
        <w:t>يوفر عادةً جرعة يومية كلية من التصفية تكون</w:t>
      </w:r>
      <w:r>
        <w:rPr>
          <w:rFonts w:asciiTheme="minorBidi" w:hAnsiTheme="minorBidi" w:hint="cs"/>
          <w:sz w:val="24"/>
          <w:szCs w:val="24"/>
          <w:rtl/>
        </w:rPr>
        <w:t xml:space="preserve"> </w:t>
      </w:r>
      <w:r w:rsidRPr="00110337">
        <w:rPr>
          <w:rFonts w:asciiTheme="minorBidi" w:hAnsiTheme="minorBidi"/>
          <w:sz w:val="24"/>
          <w:szCs w:val="24"/>
          <w:rtl/>
        </w:rPr>
        <w:t>أقل من التصفية التي توفرها وظيفة الكلى الطبيعية</w:t>
      </w:r>
      <w:r>
        <w:rPr>
          <w:rFonts w:asciiTheme="minorBidi" w:hAnsiTheme="minorBidi" w:hint="cs"/>
          <w:sz w:val="24"/>
          <w:szCs w:val="24"/>
          <w:rtl/>
        </w:rPr>
        <w:t xml:space="preserve"> ، </w:t>
      </w:r>
      <w:r w:rsidRPr="00110337">
        <w:rPr>
          <w:rFonts w:asciiTheme="minorBidi" w:hAnsiTheme="minorBidi"/>
          <w:sz w:val="24"/>
          <w:szCs w:val="24"/>
          <w:rtl/>
        </w:rPr>
        <w:t>لكنها أعلى بكثير من التصفية التي يوفرها غسيل الكلى المتقطع</w:t>
      </w:r>
      <w:r>
        <w:rPr>
          <w:rFonts w:asciiTheme="minorBidi" w:hAnsiTheme="minorBidi" w:hint="cs"/>
          <w:sz w:val="24"/>
          <w:szCs w:val="24"/>
          <w:rtl/>
        </w:rPr>
        <w:t xml:space="preserve"> </w:t>
      </w:r>
      <w:r w:rsidRPr="00110337">
        <w:rPr>
          <w:rFonts w:asciiTheme="minorBidi" w:hAnsiTheme="minorBidi"/>
          <w:sz w:val="24"/>
          <w:szCs w:val="24"/>
        </w:rPr>
        <w:t xml:space="preserve"> (IHD)</w:t>
      </w:r>
      <w:r>
        <w:rPr>
          <w:rFonts w:asciiTheme="minorBidi" w:hAnsiTheme="minorBidi" w:hint="cs"/>
          <w:sz w:val="24"/>
          <w:szCs w:val="24"/>
          <w:rtl/>
        </w:rPr>
        <w:t xml:space="preserve"> . </w:t>
      </w:r>
      <w:r w:rsidRPr="00110337">
        <w:rPr>
          <w:rFonts w:asciiTheme="minorBidi" w:hAnsiTheme="minorBidi"/>
          <w:sz w:val="24"/>
          <w:szCs w:val="24"/>
          <w:rtl/>
        </w:rPr>
        <w:t>ولذلك فإن الجرعات المطلوبة من الأدوية القابلة للإزالة بالغسيل الكلوي لدى المرضى الذين يخضعون لـ</w:t>
      </w:r>
      <w:r w:rsidRPr="00110337">
        <w:rPr>
          <w:rFonts w:asciiTheme="minorBidi" w:hAnsiTheme="minorBidi"/>
          <w:sz w:val="24"/>
          <w:szCs w:val="24"/>
        </w:rPr>
        <w:t xml:space="preserve"> CKRT </w:t>
      </w:r>
      <w:r w:rsidRPr="00110337">
        <w:rPr>
          <w:rFonts w:asciiTheme="minorBidi" w:hAnsiTheme="minorBidi"/>
          <w:sz w:val="24"/>
          <w:szCs w:val="24"/>
          <w:rtl/>
        </w:rPr>
        <w:t>تكون عادةً</w:t>
      </w:r>
      <w:r>
        <w:rPr>
          <w:rFonts w:asciiTheme="minorBidi" w:hAnsiTheme="minorBidi" w:hint="cs"/>
          <w:sz w:val="24"/>
          <w:szCs w:val="24"/>
          <w:rtl/>
        </w:rPr>
        <w:t xml:space="preserve"> </w:t>
      </w:r>
      <w:r w:rsidRPr="00110337">
        <w:rPr>
          <w:rFonts w:asciiTheme="minorBidi" w:hAnsiTheme="minorBidi"/>
          <w:sz w:val="24"/>
          <w:szCs w:val="24"/>
          <w:rtl/>
        </w:rPr>
        <w:t>أعلى من الجرعات الموصى بها لمرضى</w:t>
      </w:r>
      <w:r>
        <w:rPr>
          <w:rFonts w:asciiTheme="minorBidi" w:hAnsiTheme="minorBidi" w:hint="cs"/>
          <w:sz w:val="24"/>
          <w:szCs w:val="24"/>
          <w:rtl/>
        </w:rPr>
        <w:t xml:space="preserve"> </w:t>
      </w:r>
      <w:r w:rsidRPr="00110337">
        <w:rPr>
          <w:rFonts w:asciiTheme="minorBidi" w:hAnsiTheme="minorBidi"/>
          <w:sz w:val="24"/>
          <w:szCs w:val="24"/>
        </w:rPr>
        <w:t xml:space="preserve"> IHD</w:t>
      </w:r>
      <w:r w:rsidRPr="00110337">
        <w:rPr>
          <w:rFonts w:asciiTheme="minorBidi" w:hAnsiTheme="minorBidi"/>
          <w:sz w:val="24"/>
          <w:szCs w:val="24"/>
          <w:rtl/>
        </w:rPr>
        <w:t>، ولكن أقل من الجرعات المستخدمة لدى المرضى ذوي الوظيفة الكلوية الطبيعية</w:t>
      </w:r>
      <w:r>
        <w:rPr>
          <w:rFonts w:asciiTheme="minorBidi" w:hAnsiTheme="minorBidi" w:hint="cs"/>
          <w:sz w:val="24"/>
          <w:szCs w:val="24"/>
          <w:rtl/>
        </w:rPr>
        <w:t xml:space="preserve">. </w:t>
      </w:r>
    </w:p>
    <w:p w14:paraId="5DFACA46"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ومع ذلك، فإن مستوى الدواء الذي يتحقق فعليًّا لدى أي مريض يعتمد على عوامل متعددة، منها</w:t>
      </w:r>
      <w:r>
        <w:rPr>
          <w:rFonts w:asciiTheme="minorBidi" w:hAnsiTheme="minorBidi" w:hint="cs"/>
          <w:sz w:val="24"/>
          <w:szCs w:val="24"/>
          <w:rtl/>
        </w:rPr>
        <w:t xml:space="preserve">: </w:t>
      </w:r>
    </w:p>
    <w:p w14:paraId="792ECA20"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جرعة</w:t>
      </w:r>
      <w:r>
        <w:rPr>
          <w:rFonts w:asciiTheme="minorBidi" w:hAnsiTheme="minorBidi" w:hint="cs"/>
          <w:sz w:val="24"/>
          <w:szCs w:val="24"/>
          <w:rtl/>
        </w:rPr>
        <w:t xml:space="preserve"> الـ </w:t>
      </w:r>
      <w:r w:rsidRPr="00110337">
        <w:rPr>
          <w:rFonts w:asciiTheme="minorBidi" w:hAnsiTheme="minorBidi"/>
          <w:sz w:val="24"/>
          <w:szCs w:val="24"/>
        </w:rPr>
        <w:t xml:space="preserve"> CKRT</w:t>
      </w:r>
    </w:p>
    <w:p w14:paraId="130D20A5"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الوظيفة الكلوية المتبقية</w:t>
      </w:r>
      <w:r>
        <w:rPr>
          <w:rFonts w:asciiTheme="minorBidi" w:hAnsiTheme="minorBidi" w:hint="cs"/>
          <w:sz w:val="24"/>
          <w:szCs w:val="24"/>
          <w:rtl/>
        </w:rPr>
        <w:t xml:space="preserve">. </w:t>
      </w:r>
    </w:p>
    <w:p w14:paraId="79AA0685"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 xml:space="preserve">درجة امتزاز الدواء على </w:t>
      </w:r>
      <w:r>
        <w:rPr>
          <w:rFonts w:asciiTheme="minorBidi" w:hAnsiTheme="minorBidi" w:hint="cs"/>
          <w:sz w:val="24"/>
          <w:szCs w:val="24"/>
          <w:rtl/>
        </w:rPr>
        <w:t xml:space="preserve">فلتر الدم. </w:t>
      </w:r>
    </w:p>
    <w:p w14:paraId="0AC91F72"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التغيرات في حجم التوزع</w:t>
      </w:r>
      <w:r>
        <w:rPr>
          <w:rFonts w:asciiTheme="minorBidi" w:hAnsiTheme="minorBidi" w:hint="cs"/>
          <w:sz w:val="24"/>
          <w:szCs w:val="24"/>
          <w:rtl/>
        </w:rPr>
        <w:t xml:space="preserve"> </w:t>
      </w:r>
      <w:r w:rsidRPr="00110337">
        <w:rPr>
          <w:rFonts w:asciiTheme="minorBidi" w:hAnsiTheme="minorBidi"/>
          <w:sz w:val="24"/>
          <w:szCs w:val="24"/>
        </w:rPr>
        <w:t xml:space="preserve"> (Volume of distribution)</w:t>
      </w:r>
    </w:p>
    <w:p w14:paraId="60C80718"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والتغيرات في الارتباط بالبروتينات</w:t>
      </w:r>
      <w:r w:rsidRPr="00110337">
        <w:rPr>
          <w:rFonts w:asciiTheme="minorBidi" w:hAnsiTheme="minorBidi"/>
          <w:sz w:val="24"/>
          <w:szCs w:val="24"/>
        </w:rPr>
        <w:t>.</w:t>
      </w:r>
    </w:p>
    <w:p w14:paraId="74C503C6" w14:textId="77777777" w:rsidR="00DD0B26" w:rsidRDefault="00DD0B26" w:rsidP="00DD0B26">
      <w:pPr>
        <w:bidi/>
        <w:spacing w:after="0"/>
        <w:rPr>
          <w:rFonts w:asciiTheme="minorBidi" w:hAnsiTheme="minorBidi"/>
          <w:sz w:val="24"/>
          <w:szCs w:val="24"/>
          <w:rtl/>
        </w:rPr>
      </w:pPr>
    </w:p>
    <w:p w14:paraId="452EBDE3"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وتكون التغيرات في حجم التوزع والارتباط بالبروتينات شائعة لدى المرضى ذوي الحالات الحرجة</w:t>
      </w:r>
      <w:r>
        <w:rPr>
          <w:rFonts w:asciiTheme="minorBidi" w:hAnsiTheme="minorBidi" w:hint="cs"/>
          <w:sz w:val="24"/>
          <w:szCs w:val="24"/>
          <w:rtl/>
        </w:rPr>
        <w:t>.</w:t>
      </w:r>
    </w:p>
    <w:p w14:paraId="2D378A27" w14:textId="77777777" w:rsidR="00DD0B26" w:rsidRDefault="00DD0B26" w:rsidP="00DD0B26">
      <w:pPr>
        <w:bidi/>
        <w:spacing w:after="0"/>
        <w:rPr>
          <w:rFonts w:asciiTheme="minorBidi" w:hAnsiTheme="minorBidi"/>
          <w:sz w:val="24"/>
          <w:szCs w:val="24"/>
          <w:rtl/>
        </w:rPr>
      </w:pPr>
      <w:r w:rsidRPr="00110337">
        <w:rPr>
          <w:rFonts w:asciiTheme="minorBidi" w:hAnsiTheme="minorBidi"/>
          <w:sz w:val="24"/>
          <w:szCs w:val="24"/>
          <w:rtl/>
        </w:rPr>
        <w:t>لذلك فإن التنبؤ بمستويات الأدوية لدى هؤلاء المرضى أمر صعب، ويكون المرضى الذين يخضعون لـ</w:t>
      </w:r>
      <w:r w:rsidRPr="00110337">
        <w:rPr>
          <w:rFonts w:asciiTheme="minorBidi" w:hAnsiTheme="minorBidi"/>
          <w:sz w:val="24"/>
          <w:szCs w:val="24"/>
        </w:rPr>
        <w:t xml:space="preserve"> CKRT </w:t>
      </w:r>
      <w:r w:rsidRPr="00110337">
        <w:rPr>
          <w:rFonts w:asciiTheme="minorBidi" w:hAnsiTheme="minorBidi"/>
          <w:sz w:val="24"/>
          <w:szCs w:val="24"/>
          <w:rtl/>
        </w:rPr>
        <w:t>عرضةً لكل من</w:t>
      </w:r>
      <w:r>
        <w:rPr>
          <w:rFonts w:asciiTheme="minorBidi" w:hAnsiTheme="minorBidi" w:hint="cs"/>
          <w:sz w:val="24"/>
          <w:szCs w:val="24"/>
          <w:rtl/>
        </w:rPr>
        <w:t xml:space="preserve"> </w:t>
      </w:r>
      <w:r w:rsidRPr="00110337">
        <w:rPr>
          <w:rFonts w:asciiTheme="minorBidi" w:hAnsiTheme="minorBidi"/>
          <w:sz w:val="24"/>
          <w:szCs w:val="24"/>
          <w:rtl/>
        </w:rPr>
        <w:t>الجرعات الزائدة</w:t>
      </w:r>
      <w:r>
        <w:rPr>
          <w:rFonts w:asciiTheme="minorBidi" w:hAnsiTheme="minorBidi" w:hint="cs"/>
          <w:sz w:val="24"/>
          <w:szCs w:val="24"/>
          <w:rtl/>
        </w:rPr>
        <w:t xml:space="preserve"> </w:t>
      </w:r>
      <w:r w:rsidRPr="00110337">
        <w:rPr>
          <w:rFonts w:asciiTheme="minorBidi" w:hAnsiTheme="minorBidi"/>
          <w:sz w:val="24"/>
          <w:szCs w:val="24"/>
          <w:rtl/>
        </w:rPr>
        <w:t>والجرعات غير الكافية</w:t>
      </w:r>
      <w:r>
        <w:rPr>
          <w:rFonts w:asciiTheme="minorBidi" w:hAnsiTheme="minorBidi" w:hint="cs"/>
          <w:sz w:val="24"/>
          <w:szCs w:val="24"/>
          <w:rtl/>
        </w:rPr>
        <w:t xml:space="preserve"> </w:t>
      </w:r>
      <w:r w:rsidRPr="00110337">
        <w:rPr>
          <w:rFonts w:asciiTheme="minorBidi" w:hAnsiTheme="minorBidi"/>
          <w:sz w:val="24"/>
          <w:szCs w:val="24"/>
          <w:rtl/>
        </w:rPr>
        <w:t>من الأدوية</w:t>
      </w:r>
      <w:r>
        <w:rPr>
          <w:rFonts w:asciiTheme="minorBidi" w:hAnsiTheme="minorBidi" w:hint="cs"/>
          <w:sz w:val="24"/>
          <w:szCs w:val="24"/>
          <w:rtl/>
        </w:rPr>
        <w:t>.</w:t>
      </w:r>
    </w:p>
    <w:p w14:paraId="46BBC818"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وقد يسبب ذلك أضرارًا مهمة، ولا سيما عند التعامل مع العوامل المضادة</w:t>
      </w:r>
      <w:r>
        <w:rPr>
          <w:rFonts w:asciiTheme="minorBidi" w:hAnsiTheme="minorBidi" w:hint="cs"/>
          <w:sz w:val="24"/>
          <w:szCs w:val="24"/>
          <w:rtl/>
        </w:rPr>
        <w:t xml:space="preserve"> الحيوية</w:t>
      </w:r>
      <w:r w:rsidRPr="00110337">
        <w:rPr>
          <w:rFonts w:asciiTheme="minorBidi" w:hAnsiTheme="minorBidi"/>
          <w:sz w:val="24"/>
          <w:szCs w:val="24"/>
          <w:rtl/>
        </w:rPr>
        <w:t xml:space="preserve"> للميكروبات القابلة للإزالة بالغسيل الكلوي لدى مرضى الإنتان</w:t>
      </w:r>
      <w:r>
        <w:rPr>
          <w:rFonts w:asciiTheme="minorBidi" w:hAnsiTheme="minorBidi" w:hint="cs"/>
          <w:sz w:val="24"/>
          <w:szCs w:val="24"/>
          <w:rtl/>
        </w:rPr>
        <w:t xml:space="preserve">. </w:t>
      </w:r>
      <w:r w:rsidRPr="00110337">
        <w:rPr>
          <w:rFonts w:asciiTheme="minorBidi" w:hAnsiTheme="minorBidi"/>
          <w:sz w:val="24"/>
          <w:szCs w:val="24"/>
          <w:rtl/>
        </w:rPr>
        <w:t>ولذلك يُعد التنسيق مع صيادلة العناية الحرجة ذوي الخبرة في</w:t>
      </w:r>
      <w:r w:rsidRPr="00110337">
        <w:rPr>
          <w:rFonts w:asciiTheme="minorBidi" w:hAnsiTheme="minorBidi"/>
          <w:sz w:val="24"/>
          <w:szCs w:val="24"/>
        </w:rPr>
        <w:t xml:space="preserve"> CKRT </w:t>
      </w:r>
      <w:r w:rsidRPr="00110337">
        <w:rPr>
          <w:rFonts w:asciiTheme="minorBidi" w:hAnsiTheme="minorBidi"/>
          <w:sz w:val="24"/>
          <w:szCs w:val="24"/>
          <w:rtl/>
        </w:rPr>
        <w:t>أمرًا أساسيًّا</w:t>
      </w:r>
      <w:r>
        <w:rPr>
          <w:rFonts w:asciiTheme="minorBidi" w:hAnsiTheme="minorBidi" w:hint="cs"/>
          <w:sz w:val="24"/>
          <w:szCs w:val="24"/>
          <w:rtl/>
        </w:rPr>
        <w:t xml:space="preserve"> ، </w:t>
      </w:r>
      <w:r w:rsidRPr="00110337">
        <w:rPr>
          <w:rFonts w:asciiTheme="minorBidi" w:hAnsiTheme="minorBidi"/>
          <w:sz w:val="24"/>
          <w:szCs w:val="24"/>
          <w:rtl/>
        </w:rPr>
        <w:t>كما يُوصى بإجراء</w:t>
      </w:r>
      <w:r>
        <w:rPr>
          <w:rFonts w:asciiTheme="minorBidi" w:hAnsiTheme="minorBidi" w:hint="cs"/>
          <w:sz w:val="24"/>
          <w:szCs w:val="24"/>
          <w:rtl/>
        </w:rPr>
        <w:t xml:space="preserve"> </w:t>
      </w:r>
      <w:r w:rsidRPr="00110337">
        <w:rPr>
          <w:rFonts w:asciiTheme="minorBidi" w:hAnsiTheme="minorBidi"/>
          <w:sz w:val="24"/>
          <w:szCs w:val="24"/>
          <w:rtl/>
        </w:rPr>
        <w:t>المراقبة العلاجية لمستويات الأدوية</w:t>
      </w:r>
      <w:r>
        <w:rPr>
          <w:rFonts w:asciiTheme="minorBidi" w:hAnsiTheme="minorBidi" w:hint="cs"/>
          <w:sz w:val="24"/>
          <w:szCs w:val="24"/>
          <w:rtl/>
        </w:rPr>
        <w:t xml:space="preserve"> </w:t>
      </w:r>
      <w:r w:rsidRPr="00110337">
        <w:rPr>
          <w:rFonts w:asciiTheme="minorBidi" w:hAnsiTheme="minorBidi"/>
          <w:sz w:val="24"/>
          <w:szCs w:val="24"/>
        </w:rPr>
        <w:t xml:space="preserve"> (Therapeutic Drug Monitoring, TDM)</w:t>
      </w:r>
      <w:r>
        <w:rPr>
          <w:rFonts w:asciiTheme="minorBidi" w:hAnsiTheme="minorBidi" w:hint="cs"/>
          <w:sz w:val="24"/>
          <w:szCs w:val="24"/>
          <w:rtl/>
        </w:rPr>
        <w:t xml:space="preserve"> </w:t>
      </w:r>
      <w:r w:rsidRPr="00110337">
        <w:rPr>
          <w:rFonts w:asciiTheme="minorBidi" w:hAnsiTheme="minorBidi"/>
          <w:sz w:val="24"/>
          <w:szCs w:val="24"/>
          <w:rtl/>
        </w:rPr>
        <w:t>كلما كان ذلك ممكنًا</w:t>
      </w:r>
      <w:r>
        <w:rPr>
          <w:rFonts w:asciiTheme="minorBidi" w:hAnsiTheme="minorBidi" w:hint="cs"/>
          <w:sz w:val="24"/>
          <w:szCs w:val="24"/>
          <w:rtl/>
        </w:rPr>
        <w:t>.</w:t>
      </w:r>
    </w:p>
    <w:p w14:paraId="2684F5A4" w14:textId="77777777" w:rsidR="00DD0B26" w:rsidRDefault="00DD0B26" w:rsidP="003600A9">
      <w:pPr>
        <w:bidi/>
        <w:spacing w:after="100" w:line="283" w:lineRule="auto"/>
        <w:rPr>
          <w:rFonts w:eastAsiaTheme="majorEastAsia"/>
          <w:b/>
          <w:bCs/>
          <w:color w:val="17324D"/>
          <w:sz w:val="30"/>
          <w:szCs w:val="28"/>
          <w:rtl/>
        </w:rPr>
      </w:pPr>
    </w:p>
    <w:p w14:paraId="332F69D6" w14:textId="77777777" w:rsidR="00DD0B26" w:rsidRDefault="00DD0B26" w:rsidP="00DD0B26">
      <w:pPr>
        <w:bidi/>
        <w:spacing w:after="100" w:line="283" w:lineRule="auto"/>
        <w:rPr>
          <w:rFonts w:eastAsiaTheme="majorEastAsia"/>
          <w:b/>
          <w:bCs/>
          <w:color w:val="17324D"/>
          <w:sz w:val="30"/>
          <w:szCs w:val="28"/>
          <w:rtl/>
        </w:rPr>
      </w:pPr>
      <w:r w:rsidRPr="00DD0B26">
        <w:rPr>
          <w:rFonts w:eastAsiaTheme="majorEastAsia"/>
          <w:b/>
          <w:bCs/>
          <w:color w:val="17324D"/>
          <w:sz w:val="30"/>
          <w:szCs w:val="28"/>
          <w:rtl/>
        </w:rPr>
        <w:t xml:space="preserve">التغذية وإعادة التأهيل البدني </w:t>
      </w:r>
      <w:r w:rsidRPr="00DD0B26">
        <w:rPr>
          <w:rFonts w:eastAsiaTheme="majorEastAsia"/>
          <w:b/>
          <w:bCs/>
          <w:color w:val="17324D"/>
          <w:sz w:val="30"/>
          <w:szCs w:val="28"/>
        </w:rPr>
        <w:t>Nutrition and Physical Rehabilitation</w:t>
      </w:r>
    </w:p>
    <w:p w14:paraId="72BBD547"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قد يساهم</w:t>
      </w:r>
      <w:r>
        <w:rPr>
          <w:rFonts w:asciiTheme="minorBidi" w:hAnsiTheme="minorBidi" w:hint="cs"/>
          <w:sz w:val="24"/>
          <w:szCs w:val="24"/>
          <w:rtl/>
        </w:rPr>
        <w:t xml:space="preserve"> الـ</w:t>
      </w:r>
      <w:r w:rsidRPr="00110337">
        <w:rPr>
          <w:rFonts w:asciiTheme="minorBidi" w:hAnsiTheme="minorBidi"/>
          <w:sz w:val="24"/>
          <w:szCs w:val="24"/>
        </w:rPr>
        <w:t xml:space="preserve"> CKRT </w:t>
      </w:r>
      <w:r w:rsidRPr="00110337">
        <w:rPr>
          <w:rFonts w:asciiTheme="minorBidi" w:hAnsiTheme="minorBidi"/>
          <w:sz w:val="24"/>
          <w:szCs w:val="24"/>
          <w:rtl/>
        </w:rPr>
        <w:t xml:space="preserve">بدرجة مهمة في توازن النيتروجين السلبي </w:t>
      </w:r>
      <w:r w:rsidRPr="001C3904">
        <w:rPr>
          <w:rFonts w:asciiTheme="minorBidi" w:hAnsiTheme="minorBidi"/>
          <w:sz w:val="24"/>
          <w:szCs w:val="24"/>
        </w:rPr>
        <w:t>negative nitrogen</w:t>
      </w:r>
      <w:r>
        <w:rPr>
          <w:rFonts w:asciiTheme="minorBidi" w:hAnsiTheme="minorBidi" w:hint="cs"/>
          <w:sz w:val="24"/>
          <w:szCs w:val="24"/>
          <w:rtl/>
        </w:rPr>
        <w:t xml:space="preserve"> </w:t>
      </w:r>
      <w:r w:rsidRPr="001C3904">
        <w:rPr>
          <w:rFonts w:asciiTheme="minorBidi" w:hAnsiTheme="minorBidi"/>
          <w:sz w:val="24"/>
          <w:szCs w:val="24"/>
        </w:rPr>
        <w:t>balance</w:t>
      </w:r>
      <w:r w:rsidRPr="001C3904">
        <w:rPr>
          <w:rFonts w:asciiTheme="minorBidi" w:hAnsiTheme="minorBidi"/>
          <w:sz w:val="24"/>
          <w:szCs w:val="24"/>
          <w:rtl/>
        </w:rPr>
        <w:t xml:space="preserve"> </w:t>
      </w:r>
      <w:r w:rsidRPr="00110337">
        <w:rPr>
          <w:rFonts w:asciiTheme="minorBidi" w:hAnsiTheme="minorBidi"/>
          <w:sz w:val="24"/>
          <w:szCs w:val="24"/>
          <w:rtl/>
        </w:rPr>
        <w:t>الذي يُشاهد عادةً لدى المرضى ذوي الحالات الحرجة نتيجة</w:t>
      </w:r>
      <w:r>
        <w:rPr>
          <w:rFonts w:asciiTheme="minorBidi" w:hAnsiTheme="minorBidi" w:hint="cs"/>
          <w:sz w:val="24"/>
          <w:szCs w:val="24"/>
          <w:rtl/>
        </w:rPr>
        <w:t xml:space="preserve"> </w:t>
      </w:r>
      <w:r w:rsidRPr="00110337">
        <w:rPr>
          <w:rFonts w:asciiTheme="minorBidi" w:hAnsiTheme="minorBidi"/>
          <w:sz w:val="24"/>
          <w:szCs w:val="24"/>
          <w:rtl/>
        </w:rPr>
        <w:t>الأذيات الالتهابية</w:t>
      </w:r>
      <w:r>
        <w:rPr>
          <w:rFonts w:asciiTheme="minorBidi" w:hAnsiTheme="minorBidi" w:hint="cs"/>
          <w:sz w:val="24"/>
          <w:szCs w:val="24"/>
          <w:rtl/>
        </w:rPr>
        <w:t xml:space="preserve"> </w:t>
      </w:r>
      <w:r w:rsidRPr="00110337">
        <w:rPr>
          <w:rFonts w:asciiTheme="minorBidi" w:hAnsiTheme="minorBidi"/>
          <w:sz w:val="24"/>
          <w:szCs w:val="24"/>
          <w:rtl/>
        </w:rPr>
        <w:t>والحالات الاستقلابية التقويضية</w:t>
      </w:r>
      <w:r>
        <w:rPr>
          <w:rFonts w:asciiTheme="minorBidi" w:hAnsiTheme="minorBidi" w:hint="cs"/>
          <w:sz w:val="24"/>
          <w:szCs w:val="24"/>
          <w:rtl/>
        </w:rPr>
        <w:t xml:space="preserve"> </w:t>
      </w:r>
      <w:r w:rsidRPr="001C3904">
        <w:rPr>
          <w:rFonts w:asciiTheme="minorBidi" w:hAnsiTheme="minorBidi"/>
          <w:sz w:val="24"/>
          <w:szCs w:val="24"/>
        </w:rPr>
        <w:t>catabolic states</w:t>
      </w:r>
      <w:r>
        <w:rPr>
          <w:rFonts w:asciiTheme="minorBidi" w:hAnsiTheme="minorBidi" w:hint="cs"/>
          <w:sz w:val="24"/>
          <w:szCs w:val="24"/>
          <w:rtl/>
        </w:rPr>
        <w:t>.</w:t>
      </w:r>
    </w:p>
    <w:p w14:paraId="2AF1F051" w14:textId="77777777" w:rsidR="00DD0B26" w:rsidRDefault="00DD0B26" w:rsidP="00DD0B26">
      <w:pPr>
        <w:bidi/>
        <w:spacing w:after="0"/>
        <w:rPr>
          <w:rFonts w:asciiTheme="minorBidi" w:hAnsiTheme="minorBidi"/>
          <w:sz w:val="24"/>
          <w:szCs w:val="24"/>
          <w:rtl/>
        </w:rPr>
      </w:pPr>
    </w:p>
    <w:p w14:paraId="0CE47224" w14:textId="5BC7455D"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وفي الكلى السليمة، تُرشَّح الأحماض الأمينية والببتيدات الصغيرة عبر الكبيبات، لكنها تُعاد امتصاصها بالكامل تقريبًا في النبيبات القريبة</w:t>
      </w:r>
      <w:r>
        <w:rPr>
          <w:rFonts w:asciiTheme="minorBidi" w:hAnsiTheme="minorBidi" w:hint="cs"/>
          <w:sz w:val="24"/>
          <w:szCs w:val="24"/>
          <w:rtl/>
        </w:rPr>
        <w:t xml:space="preserve"> ، </w:t>
      </w:r>
      <w:r w:rsidRPr="00110337">
        <w:rPr>
          <w:rFonts w:asciiTheme="minorBidi" w:hAnsiTheme="minorBidi"/>
          <w:sz w:val="24"/>
          <w:szCs w:val="24"/>
          <w:rtl/>
        </w:rPr>
        <w:t>أما أثناء</w:t>
      </w:r>
      <w:r>
        <w:rPr>
          <w:rFonts w:asciiTheme="minorBidi" w:hAnsiTheme="minorBidi" w:hint="cs"/>
          <w:sz w:val="24"/>
          <w:szCs w:val="24"/>
          <w:rtl/>
        </w:rPr>
        <w:t xml:space="preserve"> الـ </w:t>
      </w:r>
      <w:r w:rsidRPr="00110337">
        <w:rPr>
          <w:rFonts w:asciiTheme="minorBidi" w:hAnsiTheme="minorBidi"/>
          <w:sz w:val="24"/>
          <w:szCs w:val="24"/>
        </w:rPr>
        <w:t xml:space="preserve"> CKRT</w:t>
      </w:r>
      <w:r w:rsidRPr="00110337">
        <w:rPr>
          <w:rFonts w:asciiTheme="minorBidi" w:hAnsiTheme="minorBidi"/>
          <w:sz w:val="24"/>
          <w:szCs w:val="24"/>
          <w:rtl/>
        </w:rPr>
        <w:t>، فقد يحدث فقد غير انتقائي لنحو</w:t>
      </w:r>
      <w:r w:rsidRPr="00110337">
        <w:rPr>
          <w:rFonts w:asciiTheme="minorBidi" w:hAnsiTheme="minorBidi"/>
          <w:sz w:val="24"/>
          <w:szCs w:val="24"/>
        </w:rPr>
        <w:t>10–20</w:t>
      </w:r>
      <w:r>
        <w:rPr>
          <w:rFonts w:asciiTheme="minorBidi" w:hAnsiTheme="minorBidi" w:hint="cs"/>
          <w:sz w:val="24"/>
          <w:szCs w:val="24"/>
          <w:rtl/>
        </w:rPr>
        <w:t xml:space="preserve"> </w:t>
      </w:r>
      <w:r w:rsidRPr="00110337">
        <w:rPr>
          <w:rFonts w:asciiTheme="minorBidi" w:hAnsiTheme="minorBidi"/>
          <w:sz w:val="24"/>
          <w:szCs w:val="24"/>
          <w:rtl/>
        </w:rPr>
        <w:t>غرامًا من الأحماض الأمينية يوميًّا</w:t>
      </w:r>
      <w:r>
        <w:rPr>
          <w:rFonts w:asciiTheme="minorBidi" w:hAnsiTheme="minorBidi" w:hint="cs"/>
          <w:sz w:val="24"/>
          <w:szCs w:val="24"/>
          <w:rtl/>
        </w:rPr>
        <w:t xml:space="preserve"> ، </w:t>
      </w:r>
      <w:r w:rsidRPr="00110337">
        <w:rPr>
          <w:rFonts w:asciiTheme="minorBidi" w:hAnsiTheme="minorBidi"/>
          <w:sz w:val="24"/>
          <w:szCs w:val="24"/>
          <w:rtl/>
        </w:rPr>
        <w:t>إضافةً إلى فقدان مغذيات دقيقة أخرى قابلة للذوبان في الماء</w:t>
      </w:r>
      <w:r>
        <w:rPr>
          <w:rFonts w:asciiTheme="minorBidi" w:hAnsiTheme="minorBidi" w:hint="cs"/>
          <w:sz w:val="24"/>
          <w:szCs w:val="24"/>
          <w:rtl/>
        </w:rPr>
        <w:t>.</w:t>
      </w:r>
    </w:p>
    <w:p w14:paraId="32FB7E82" w14:textId="06BCDC93"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وعلى الرغم من الحاجة إلى المزيد من البيانات، فمن الممكن من الناحية البيولوجية أن يسهم فقدان الأحماض الأمينية الناتج عن</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Pr>
        <w:t xml:space="preserve"> </w:t>
      </w:r>
      <w:r w:rsidRPr="00110337">
        <w:rPr>
          <w:rFonts w:asciiTheme="minorBidi" w:hAnsiTheme="minorBidi"/>
          <w:sz w:val="24"/>
          <w:szCs w:val="24"/>
          <w:rtl/>
        </w:rPr>
        <w:t>في تفاقم</w:t>
      </w:r>
      <w:r>
        <w:rPr>
          <w:rFonts w:asciiTheme="minorBidi" w:hAnsiTheme="minorBidi" w:hint="cs"/>
          <w:sz w:val="24"/>
          <w:szCs w:val="24"/>
          <w:rtl/>
        </w:rPr>
        <w:t xml:space="preserve"> </w:t>
      </w:r>
      <w:r w:rsidRPr="00110337">
        <w:rPr>
          <w:rFonts w:asciiTheme="minorBidi" w:hAnsiTheme="minorBidi"/>
          <w:sz w:val="24"/>
          <w:szCs w:val="24"/>
          <w:rtl/>
        </w:rPr>
        <w:t>الضعف العضلي المكتسب في وحدة العناية المركزة</w:t>
      </w:r>
      <w:r>
        <w:rPr>
          <w:rFonts w:asciiTheme="minorBidi" w:hAnsiTheme="minorBidi" w:hint="cs"/>
          <w:sz w:val="24"/>
          <w:szCs w:val="24"/>
          <w:rtl/>
        </w:rPr>
        <w:t xml:space="preserve"> </w:t>
      </w:r>
      <w:r w:rsidRPr="00110337">
        <w:rPr>
          <w:rFonts w:asciiTheme="minorBidi" w:hAnsiTheme="minorBidi"/>
          <w:sz w:val="24"/>
          <w:szCs w:val="24"/>
        </w:rPr>
        <w:t xml:space="preserve"> (ICU-acquired weakness)</w:t>
      </w:r>
    </w:p>
    <w:p w14:paraId="646AB93A" w14:textId="0C2EC394" w:rsidR="009E31D7" w:rsidRDefault="00DD0B26" w:rsidP="00DD0B26">
      <w:pPr>
        <w:bidi/>
        <w:spacing w:after="100" w:line="283" w:lineRule="auto"/>
      </w:pPr>
      <w:r w:rsidRPr="00110337">
        <w:rPr>
          <w:rFonts w:asciiTheme="minorBidi" w:hAnsiTheme="minorBidi"/>
          <w:sz w:val="24"/>
          <w:szCs w:val="24"/>
          <w:rtl/>
        </w:rPr>
        <w:lastRenderedPageBreak/>
        <w:t>ولتعويض هذه الخسائر</w:t>
      </w:r>
      <w:r>
        <w:rPr>
          <w:rFonts w:asciiTheme="minorBidi" w:hAnsiTheme="minorBidi" w:hint="cs"/>
          <w:sz w:val="24"/>
          <w:szCs w:val="24"/>
          <w:rtl/>
        </w:rPr>
        <w:t xml:space="preserve"> </w:t>
      </w:r>
      <w:r w:rsidR="00000000">
        <w:rPr>
          <w:color w:val="263746"/>
          <w:rtl/>
        </w:rPr>
        <w:t>توصي إرشادات ESPEN للمرضى ذوي الحالات الحرجة المصابين بـ AKI أو AKI فوق CKD ممن يتلقون CKRT أو PIKRT بهدف بروتين مقداره 1.5 غ/كغ/اليوم، ويمكن رفعه إلى 1.7 غ/كغ/اليوم وفق التوصية المنشورة. تُفصّل الخطة بحسب الحالة الغذائية والاستقلابية وتحمّل المريض وبالتنسيق مع اختصاصي التغذية [1].</w:t>
      </w:r>
    </w:p>
    <w:p w14:paraId="6D50D21D" w14:textId="77777777" w:rsidR="009E31D7" w:rsidRDefault="00000000" w:rsidP="003600A9">
      <w:pPr>
        <w:bidi/>
        <w:spacing w:after="100" w:line="283" w:lineRule="auto"/>
      </w:pPr>
      <w:r>
        <w:rPr>
          <w:color w:val="263746"/>
          <w:rtl/>
        </w:rPr>
        <w:t>تُراجع خسائر المغذيات عبر CKRT ضمن تقدير الاحتياجات، ولا تُحوّل خسارة مركب محدد مباشرةً إلى جرعة تغذية ثابتة من دون تقييم سريري [1،2].</w:t>
      </w:r>
    </w:p>
    <w:p w14:paraId="50999FE4" w14:textId="77777777" w:rsidR="009E31D7" w:rsidRDefault="00000000" w:rsidP="003600A9">
      <w:pPr>
        <w:pStyle w:val="berschrift1"/>
        <w:bidi/>
        <w:spacing w:after="100" w:line="283" w:lineRule="auto"/>
      </w:pPr>
      <w:r>
        <w:rPr>
          <w:rFonts w:ascii="Arial" w:hAnsi="Arial" w:cs="Arial"/>
          <w:rtl/>
        </w:rPr>
        <w:t>إعادة التأهيل والحركة</w:t>
      </w:r>
    </w:p>
    <w:p w14:paraId="3097C353" w14:textId="77777777" w:rsidR="009E31D7" w:rsidRDefault="00000000" w:rsidP="003600A9">
      <w:pPr>
        <w:bidi/>
        <w:spacing w:after="100" w:line="283" w:lineRule="auto"/>
      </w:pPr>
      <w:r>
        <w:rPr>
          <w:color w:val="263746"/>
          <w:rtl/>
        </w:rPr>
        <w:t>يُقيّم الفريق ملاءمة الحركة المبكرة بحسب استقرار المريض، وثبات القثطرة والأنابيب، وإعدادات الجهاز، وقدرة الفريق على تأمين الدارة. تُنفذ الحركة تحت إشراف مختصين وبما يتوافق مع بروتوكول العناية الحرجة المحلي [2].</w:t>
      </w:r>
    </w:p>
    <w:p w14:paraId="492D044B" w14:textId="77777777" w:rsidR="009E31D7" w:rsidRDefault="00000000" w:rsidP="003600A9">
      <w:pPr>
        <w:pStyle w:val="berschrift1"/>
        <w:bidi/>
        <w:spacing w:after="100" w:line="283" w:lineRule="auto"/>
      </w:pPr>
      <w:r>
        <w:rPr>
          <w:rFonts w:ascii="Arial" w:hAnsi="Arial" w:cs="Arial"/>
          <w:rtl/>
        </w:rPr>
        <w:t>متابعة الأداء والجودة</w:t>
      </w:r>
    </w:p>
    <w:p w14:paraId="221F3EB2" w14:textId="77777777" w:rsidR="00DD0B26" w:rsidRPr="001C3904" w:rsidRDefault="00DD0B26" w:rsidP="00DD0B26">
      <w:pPr>
        <w:bidi/>
        <w:spacing w:after="0"/>
        <w:rPr>
          <w:rFonts w:asciiTheme="minorBidi" w:hAnsiTheme="minorBidi"/>
          <w:b/>
          <w:bCs/>
          <w:sz w:val="24"/>
          <w:szCs w:val="24"/>
        </w:rPr>
      </w:pPr>
      <w:r w:rsidRPr="001C3904">
        <w:rPr>
          <w:rFonts w:asciiTheme="minorBidi" w:hAnsiTheme="minorBidi"/>
          <w:b/>
          <w:bCs/>
          <w:sz w:val="24"/>
          <w:szCs w:val="24"/>
          <w:rtl/>
        </w:rPr>
        <w:t>مراقبة أداء</w:t>
      </w:r>
      <w:r w:rsidRPr="001C3904">
        <w:rPr>
          <w:rFonts w:asciiTheme="minorBidi" w:hAnsiTheme="minorBidi" w:hint="cs"/>
          <w:b/>
          <w:bCs/>
          <w:sz w:val="24"/>
          <w:szCs w:val="24"/>
          <w:rtl/>
        </w:rPr>
        <w:t xml:space="preserve"> </w:t>
      </w:r>
      <w:r w:rsidRPr="001C3904">
        <w:rPr>
          <w:rFonts w:asciiTheme="minorBidi" w:hAnsiTheme="minorBidi"/>
          <w:b/>
          <w:bCs/>
          <w:sz w:val="24"/>
          <w:szCs w:val="24"/>
        </w:rPr>
        <w:t xml:space="preserve"> CKRT</w:t>
      </w:r>
      <w:r w:rsidRPr="001C3904">
        <w:rPr>
          <w:rFonts w:asciiTheme="minorBidi" w:hAnsiTheme="minorBidi" w:hint="cs"/>
          <w:b/>
          <w:bCs/>
          <w:sz w:val="24"/>
          <w:szCs w:val="24"/>
          <w:rtl/>
        </w:rPr>
        <w:t xml:space="preserve"> </w:t>
      </w:r>
      <w:r w:rsidRPr="001C3904">
        <w:rPr>
          <w:rFonts w:asciiTheme="minorBidi" w:hAnsiTheme="minorBidi"/>
          <w:b/>
          <w:bCs/>
          <w:sz w:val="24"/>
          <w:szCs w:val="24"/>
        </w:rPr>
        <w:t>Monitoring CKRT Performance</w:t>
      </w:r>
    </w:p>
    <w:p w14:paraId="23B4F427"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نظرًا إلى أن معدل الوفيات لدى المرضى ذوي الحالات الحرجة المصابين بـ</w:t>
      </w:r>
      <w:r w:rsidRPr="00110337">
        <w:rPr>
          <w:rFonts w:asciiTheme="minorBidi" w:hAnsiTheme="minorBidi"/>
          <w:sz w:val="24"/>
          <w:szCs w:val="24"/>
        </w:rPr>
        <w:t xml:space="preserve"> AKI </w:t>
      </w:r>
      <w:r w:rsidRPr="00110337">
        <w:rPr>
          <w:rFonts w:asciiTheme="minorBidi" w:hAnsiTheme="minorBidi"/>
          <w:sz w:val="24"/>
          <w:szCs w:val="24"/>
          <w:rtl/>
        </w:rPr>
        <w:t>والذين يحتاجون إلى</w:t>
      </w:r>
      <w:r w:rsidRPr="00110337">
        <w:rPr>
          <w:rFonts w:asciiTheme="minorBidi" w:hAnsiTheme="minorBidi"/>
          <w:sz w:val="24"/>
          <w:szCs w:val="24"/>
        </w:rPr>
        <w:t xml:space="preserve"> CKRT </w:t>
      </w:r>
      <w:r w:rsidRPr="00110337">
        <w:rPr>
          <w:rFonts w:asciiTheme="minorBidi" w:hAnsiTheme="minorBidi"/>
          <w:sz w:val="24"/>
          <w:szCs w:val="24"/>
          <w:rtl/>
        </w:rPr>
        <w:t>يبلغ نحو</w:t>
      </w:r>
      <w:r>
        <w:rPr>
          <w:rFonts w:asciiTheme="minorBidi" w:hAnsiTheme="minorBidi" w:hint="cs"/>
          <w:sz w:val="24"/>
          <w:szCs w:val="24"/>
          <w:rtl/>
        </w:rPr>
        <w:t xml:space="preserve"> </w:t>
      </w:r>
      <w:r w:rsidRPr="00110337">
        <w:rPr>
          <w:rFonts w:asciiTheme="minorBidi" w:hAnsiTheme="minorBidi"/>
          <w:sz w:val="24"/>
          <w:szCs w:val="24"/>
        </w:rPr>
        <w:t>50%</w:t>
      </w:r>
      <w:r>
        <w:rPr>
          <w:rFonts w:asciiTheme="minorBidi" w:hAnsiTheme="minorBidi" w:hint="cs"/>
          <w:sz w:val="24"/>
          <w:szCs w:val="24"/>
          <w:rtl/>
        </w:rPr>
        <w:t xml:space="preserve"> ، </w:t>
      </w:r>
      <w:r w:rsidRPr="00110337">
        <w:rPr>
          <w:rFonts w:asciiTheme="minorBidi" w:hAnsiTheme="minorBidi"/>
          <w:sz w:val="24"/>
          <w:szCs w:val="24"/>
          <w:rtl/>
        </w:rPr>
        <w:t>فإن هؤلاء المرضى يواجهون خطرًا مرتفعًا للنتائج السلبية</w:t>
      </w:r>
      <w:r>
        <w:rPr>
          <w:rFonts w:asciiTheme="minorBidi" w:hAnsiTheme="minorBidi" w:hint="cs"/>
          <w:sz w:val="24"/>
          <w:szCs w:val="24"/>
          <w:rtl/>
        </w:rPr>
        <w:t xml:space="preserve">. </w:t>
      </w:r>
    </w:p>
    <w:p w14:paraId="63112CB1" w14:textId="752106C1"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ولضمان حصول المرضى على أعلى جودة ممكنة من الرعاية، ينبغي إدماج برامج ضمان الجودة</w:t>
      </w:r>
      <w:r>
        <w:rPr>
          <w:rFonts w:asciiTheme="minorBidi" w:hAnsiTheme="minorBidi" w:hint="cs"/>
          <w:sz w:val="24"/>
          <w:szCs w:val="24"/>
          <w:rtl/>
        </w:rPr>
        <w:t xml:space="preserve"> </w:t>
      </w:r>
      <w:r w:rsidRPr="00110337">
        <w:rPr>
          <w:rFonts w:asciiTheme="minorBidi" w:hAnsiTheme="minorBidi"/>
          <w:sz w:val="24"/>
          <w:szCs w:val="24"/>
        </w:rPr>
        <w:t>Quality</w:t>
      </w:r>
      <w:r w:rsidRPr="001C3904">
        <w:rPr>
          <w:rFonts w:asciiTheme="minorBidi" w:hAnsiTheme="minorBidi"/>
          <w:sz w:val="24"/>
          <w:szCs w:val="24"/>
        </w:rPr>
        <w:t xml:space="preserve"> </w:t>
      </w:r>
      <w:r w:rsidRPr="00110337">
        <w:rPr>
          <w:rFonts w:asciiTheme="minorBidi" w:hAnsiTheme="minorBidi"/>
          <w:sz w:val="24"/>
          <w:szCs w:val="24"/>
        </w:rPr>
        <w:t>Assurance</w:t>
      </w:r>
      <w:r>
        <w:rPr>
          <w:rFonts w:asciiTheme="minorBidi" w:hAnsiTheme="minorBidi" w:hint="cs"/>
          <w:sz w:val="24"/>
          <w:szCs w:val="24"/>
          <w:rtl/>
        </w:rPr>
        <w:t xml:space="preserve"> ضم</w:t>
      </w:r>
      <w:r w:rsidRPr="00110337">
        <w:rPr>
          <w:rFonts w:asciiTheme="minorBidi" w:hAnsiTheme="minorBidi"/>
          <w:sz w:val="24"/>
          <w:szCs w:val="24"/>
          <w:rtl/>
        </w:rPr>
        <w:t>ن برامج</w:t>
      </w:r>
      <w:r>
        <w:rPr>
          <w:rFonts w:asciiTheme="minorBidi" w:hAnsiTheme="minorBidi" w:hint="cs"/>
          <w:sz w:val="24"/>
          <w:szCs w:val="24"/>
          <w:rtl/>
        </w:rPr>
        <w:t xml:space="preserve"> الـ</w:t>
      </w:r>
      <w:r w:rsidRPr="00110337">
        <w:rPr>
          <w:rFonts w:asciiTheme="minorBidi" w:hAnsiTheme="minorBidi"/>
          <w:sz w:val="24"/>
          <w:szCs w:val="24"/>
        </w:rPr>
        <w:t xml:space="preserve"> CKRT</w:t>
      </w:r>
      <w:r>
        <w:rPr>
          <w:rFonts w:asciiTheme="minorBidi" w:hAnsiTheme="minorBidi" w:hint="cs"/>
          <w:sz w:val="24"/>
          <w:szCs w:val="24"/>
          <w:rtl/>
        </w:rPr>
        <w:t xml:space="preserve">. هذا </w:t>
      </w:r>
      <w:r w:rsidRPr="00110337">
        <w:rPr>
          <w:rFonts w:asciiTheme="minorBidi" w:hAnsiTheme="minorBidi"/>
          <w:sz w:val="24"/>
          <w:szCs w:val="24"/>
          <w:rtl/>
        </w:rPr>
        <w:t>ولم يبدأ تطوير وتطبيق مقاييس الجودة الخاصة برعاية</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tl/>
        </w:rPr>
        <w:t>إلا في السنوات الأخيرة</w:t>
      </w:r>
      <w:r>
        <w:rPr>
          <w:rFonts w:asciiTheme="minorBidi" w:hAnsiTheme="minorBidi" w:hint="cs"/>
          <w:sz w:val="24"/>
          <w:szCs w:val="24"/>
          <w:rtl/>
        </w:rPr>
        <w:t xml:space="preserve">. </w:t>
      </w:r>
    </w:p>
    <w:p w14:paraId="24EC7039" w14:textId="77777777" w:rsidR="00DD0B26" w:rsidRDefault="00DD0B26" w:rsidP="00DD0B26">
      <w:pPr>
        <w:bidi/>
        <w:spacing w:after="0"/>
        <w:rPr>
          <w:rFonts w:asciiTheme="minorBidi" w:hAnsiTheme="minorBidi"/>
          <w:sz w:val="24"/>
          <w:szCs w:val="24"/>
          <w:rtl/>
        </w:rPr>
      </w:pPr>
    </w:p>
    <w:p w14:paraId="38471FBF" w14:textId="77777777" w:rsidR="005225D6" w:rsidRDefault="005225D6" w:rsidP="005225D6">
      <w:pPr>
        <w:bidi/>
        <w:spacing w:after="100" w:line="283" w:lineRule="auto"/>
      </w:pPr>
      <w:r>
        <w:rPr>
          <w:color w:val="263746"/>
          <w:rtl/>
        </w:rPr>
        <w:t>تساعد المراجعة المنظمة على توثيق ما وُصف وما وصل فعليًا للمريض. يمكن أن تتضمن لوحة المتابعة المحلية مؤشرات تشغيلية مثل مدة انقطاع العلاج، وعمر الفلتر، والجرعة المحققة مقارنةً بالموصوفة، وUFnet المحقق مقارنةً بالهدف. لا تُفسر المؤشرات التشغيلية وحدها على أنها تحسن في نتائج المرضى [2،3].</w:t>
      </w:r>
    </w:p>
    <w:tbl>
      <w:tblPr>
        <w:tblStyle w:val="Tabellenraster"/>
        <w:bidiVisual/>
        <w:tblW w:w="0" w:type="auto"/>
        <w:jc w:val="right"/>
        <w:tblLook w:val="04A0" w:firstRow="1" w:lastRow="0" w:firstColumn="1" w:lastColumn="0" w:noHBand="0" w:noVBand="1"/>
      </w:tblPr>
      <w:tblGrid>
        <w:gridCol w:w="5040"/>
        <w:gridCol w:w="5040"/>
      </w:tblGrid>
      <w:tr w:rsidR="005225D6" w14:paraId="4C1E0A30" w14:textId="77777777" w:rsidTr="00C16216">
        <w:trPr>
          <w:jc w:val="right"/>
        </w:trPr>
        <w:tc>
          <w:tcPr>
            <w:tcW w:w="5040" w:type="dxa"/>
            <w:shd w:val="clear" w:color="auto" w:fill="17324D"/>
            <w:vAlign w:val="center"/>
          </w:tcPr>
          <w:p w14:paraId="1B99B2CA" w14:textId="77777777" w:rsidR="005225D6" w:rsidRDefault="005225D6" w:rsidP="00C16216">
            <w:pPr>
              <w:bidi/>
            </w:pPr>
            <w:r>
              <w:rPr>
                <w:b/>
                <w:color w:val="FFFFFF"/>
                <w:sz w:val="20"/>
                <w:rtl/>
              </w:rPr>
              <w:t>المؤشر</w:t>
            </w:r>
          </w:p>
        </w:tc>
        <w:tc>
          <w:tcPr>
            <w:tcW w:w="5040" w:type="dxa"/>
            <w:shd w:val="clear" w:color="auto" w:fill="17324D"/>
            <w:vAlign w:val="center"/>
          </w:tcPr>
          <w:p w14:paraId="726C9F09" w14:textId="77777777" w:rsidR="005225D6" w:rsidRDefault="005225D6" w:rsidP="00C16216">
            <w:pPr>
              <w:bidi/>
            </w:pPr>
            <w:r>
              <w:rPr>
                <w:b/>
                <w:color w:val="FFFFFF"/>
                <w:sz w:val="20"/>
                <w:rtl/>
              </w:rPr>
              <w:t>ما تتم مراجعته</w:t>
            </w:r>
          </w:p>
        </w:tc>
      </w:tr>
      <w:tr w:rsidR="005225D6" w14:paraId="46474A61" w14:textId="77777777" w:rsidTr="00C16216">
        <w:trPr>
          <w:jc w:val="right"/>
        </w:trPr>
        <w:tc>
          <w:tcPr>
            <w:tcW w:w="5040" w:type="dxa"/>
            <w:shd w:val="clear" w:color="auto" w:fill="F2F6FA"/>
            <w:vAlign w:val="center"/>
          </w:tcPr>
          <w:p w14:paraId="3779BF43" w14:textId="77777777" w:rsidR="005225D6" w:rsidRDefault="005225D6" w:rsidP="00C16216">
            <w:pPr>
              <w:bidi/>
            </w:pPr>
            <w:r>
              <w:rPr>
                <w:color w:val="263746"/>
                <w:sz w:val="20"/>
                <w:rtl/>
              </w:rPr>
              <w:t>الجرعة</w:t>
            </w:r>
          </w:p>
        </w:tc>
        <w:tc>
          <w:tcPr>
            <w:tcW w:w="5040" w:type="dxa"/>
            <w:shd w:val="clear" w:color="auto" w:fill="F2F6FA"/>
            <w:vAlign w:val="center"/>
          </w:tcPr>
          <w:p w14:paraId="54AB2F6D" w14:textId="77777777" w:rsidR="005225D6" w:rsidRDefault="005225D6" w:rsidP="00C16216">
            <w:pPr>
              <w:bidi/>
            </w:pPr>
            <w:r>
              <w:rPr>
                <w:color w:val="263746"/>
                <w:sz w:val="20"/>
                <w:rtl/>
              </w:rPr>
              <w:t>الموصوفة مقارنةً بالمُعطاة فعليًا</w:t>
            </w:r>
          </w:p>
        </w:tc>
      </w:tr>
      <w:tr w:rsidR="005225D6" w14:paraId="41623D48" w14:textId="77777777" w:rsidTr="00C16216">
        <w:trPr>
          <w:jc w:val="right"/>
        </w:trPr>
        <w:tc>
          <w:tcPr>
            <w:tcW w:w="5040" w:type="dxa"/>
            <w:vAlign w:val="center"/>
          </w:tcPr>
          <w:p w14:paraId="37FD46A7" w14:textId="77777777" w:rsidR="005225D6" w:rsidRDefault="005225D6" w:rsidP="00C16216">
            <w:pPr>
              <w:bidi/>
            </w:pPr>
            <w:r>
              <w:rPr>
                <w:color w:val="263746"/>
                <w:sz w:val="20"/>
                <w:rtl/>
              </w:rPr>
              <w:t>السوائل</w:t>
            </w:r>
          </w:p>
        </w:tc>
        <w:tc>
          <w:tcPr>
            <w:tcW w:w="5040" w:type="dxa"/>
            <w:vAlign w:val="center"/>
          </w:tcPr>
          <w:p w14:paraId="0A8C3F3A" w14:textId="77777777" w:rsidR="005225D6" w:rsidRDefault="005225D6" w:rsidP="00C16216">
            <w:pPr>
              <w:bidi/>
            </w:pPr>
            <w:r>
              <w:rPr>
                <w:color w:val="263746"/>
                <w:sz w:val="20"/>
                <w:rtl/>
              </w:rPr>
              <w:t>UFnet الموصوف مقابل المحقق وتوازن المريض الكلي</w:t>
            </w:r>
          </w:p>
        </w:tc>
      </w:tr>
      <w:tr w:rsidR="005225D6" w14:paraId="298B158F" w14:textId="77777777" w:rsidTr="00C16216">
        <w:trPr>
          <w:jc w:val="right"/>
        </w:trPr>
        <w:tc>
          <w:tcPr>
            <w:tcW w:w="5040" w:type="dxa"/>
            <w:shd w:val="clear" w:color="auto" w:fill="F2F6FA"/>
            <w:vAlign w:val="center"/>
          </w:tcPr>
          <w:p w14:paraId="70D5C93F" w14:textId="77777777" w:rsidR="005225D6" w:rsidRDefault="005225D6" w:rsidP="00C16216">
            <w:pPr>
              <w:bidi/>
            </w:pPr>
            <w:r>
              <w:rPr>
                <w:color w:val="263746"/>
                <w:sz w:val="20"/>
                <w:rtl/>
              </w:rPr>
              <w:t>الدارة</w:t>
            </w:r>
          </w:p>
        </w:tc>
        <w:tc>
          <w:tcPr>
            <w:tcW w:w="5040" w:type="dxa"/>
            <w:shd w:val="clear" w:color="auto" w:fill="F2F6FA"/>
            <w:vAlign w:val="center"/>
          </w:tcPr>
          <w:p w14:paraId="54966AC6" w14:textId="77777777" w:rsidR="005225D6" w:rsidRDefault="005225D6" w:rsidP="00C16216">
            <w:pPr>
              <w:bidi/>
            </w:pPr>
            <w:r>
              <w:rPr>
                <w:color w:val="263746"/>
                <w:sz w:val="20"/>
                <w:rtl/>
              </w:rPr>
              <w:t>مدة الانقطاع وأسبابها وعمر الفلتر</w:t>
            </w:r>
          </w:p>
        </w:tc>
      </w:tr>
      <w:tr w:rsidR="005225D6" w14:paraId="462EEFC2" w14:textId="77777777" w:rsidTr="00C16216">
        <w:trPr>
          <w:jc w:val="right"/>
        </w:trPr>
        <w:tc>
          <w:tcPr>
            <w:tcW w:w="5040" w:type="dxa"/>
            <w:vAlign w:val="center"/>
          </w:tcPr>
          <w:p w14:paraId="57C6CA71" w14:textId="77777777" w:rsidR="005225D6" w:rsidRDefault="005225D6" w:rsidP="00C16216">
            <w:pPr>
              <w:bidi/>
            </w:pPr>
            <w:r>
              <w:rPr>
                <w:color w:val="263746"/>
                <w:sz w:val="20"/>
                <w:rtl/>
              </w:rPr>
              <w:t>السلامة</w:t>
            </w:r>
          </w:p>
        </w:tc>
        <w:tc>
          <w:tcPr>
            <w:tcW w:w="5040" w:type="dxa"/>
            <w:vAlign w:val="center"/>
          </w:tcPr>
          <w:p w14:paraId="00513370" w14:textId="77777777" w:rsidR="005225D6" w:rsidRDefault="005225D6" w:rsidP="00C16216">
            <w:pPr>
              <w:bidi/>
            </w:pPr>
            <w:r>
              <w:rPr>
                <w:color w:val="263746"/>
                <w:sz w:val="20"/>
                <w:rtl/>
              </w:rPr>
              <w:t>التحاليل والاستجابة السريرية والأحداث غير المرغوبة</w:t>
            </w:r>
          </w:p>
        </w:tc>
      </w:tr>
    </w:tbl>
    <w:p w14:paraId="1A3D2F2A" w14:textId="77777777" w:rsidR="005225D6" w:rsidRDefault="005225D6" w:rsidP="005225D6">
      <w:pPr>
        <w:bidi/>
        <w:spacing w:after="0"/>
        <w:rPr>
          <w:rFonts w:asciiTheme="minorBidi" w:hAnsiTheme="minorBidi"/>
          <w:sz w:val="24"/>
          <w:szCs w:val="24"/>
          <w:rtl/>
        </w:rPr>
      </w:pPr>
    </w:p>
    <w:p w14:paraId="432CF78E" w14:textId="77777777" w:rsidR="005225D6" w:rsidRPr="005225D6" w:rsidRDefault="005225D6" w:rsidP="005225D6">
      <w:pPr>
        <w:bidi/>
        <w:spacing w:after="0"/>
        <w:rPr>
          <w:rFonts w:asciiTheme="minorBidi" w:hAnsiTheme="minorBidi"/>
          <w:sz w:val="24"/>
          <w:szCs w:val="24"/>
          <w:rtl/>
        </w:rPr>
      </w:pPr>
    </w:p>
    <w:p w14:paraId="1D9A0018" w14:textId="77777777" w:rsidR="00DD0B26" w:rsidRPr="002C7239" w:rsidRDefault="00DD0B26" w:rsidP="00DD0B26">
      <w:pPr>
        <w:bidi/>
        <w:spacing w:after="0"/>
        <w:rPr>
          <w:rFonts w:asciiTheme="minorBidi" w:hAnsiTheme="minorBidi"/>
          <w:b/>
          <w:bCs/>
          <w:sz w:val="24"/>
          <w:szCs w:val="24"/>
          <w:rtl/>
        </w:rPr>
      </w:pPr>
      <w:r w:rsidRPr="002C7239">
        <w:rPr>
          <w:rFonts w:asciiTheme="minorBidi" w:hAnsiTheme="minorBidi"/>
          <w:b/>
          <w:bCs/>
          <w:sz w:val="24"/>
          <w:szCs w:val="24"/>
          <w:rtl/>
        </w:rPr>
        <w:t>مقاييس الجودة ومؤشرات الأداء</w:t>
      </w:r>
    </w:p>
    <w:p w14:paraId="380253D7"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حددت مراجعة منهجية نُشرت عام 2017 عددًا من مقاييس الجودة الممكنة المذكورة في الأدبيات العلمية</w:t>
      </w:r>
      <w:r w:rsidRPr="00110337">
        <w:rPr>
          <w:rFonts w:asciiTheme="minorBidi" w:hAnsiTheme="minorBidi"/>
          <w:sz w:val="24"/>
          <w:szCs w:val="24"/>
        </w:rPr>
        <w:t>.</w:t>
      </w:r>
    </w:p>
    <w:p w14:paraId="4C571EA5"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لكن كان هناك تباين كبير بين الدراسات من حيث</w:t>
      </w:r>
      <w:r>
        <w:rPr>
          <w:rFonts w:asciiTheme="minorBidi" w:hAnsiTheme="minorBidi" w:hint="cs"/>
          <w:sz w:val="24"/>
          <w:szCs w:val="24"/>
          <w:rtl/>
        </w:rPr>
        <w:t xml:space="preserve"> </w:t>
      </w:r>
      <w:r w:rsidRPr="00110337">
        <w:rPr>
          <w:rFonts w:asciiTheme="minorBidi" w:hAnsiTheme="minorBidi"/>
          <w:sz w:val="24"/>
          <w:szCs w:val="24"/>
          <w:rtl/>
        </w:rPr>
        <w:t>طريقة الإبلاغ عن هذه المقاييس</w:t>
      </w:r>
      <w:r>
        <w:rPr>
          <w:rFonts w:asciiTheme="minorBidi" w:hAnsiTheme="minorBidi" w:hint="cs"/>
          <w:sz w:val="24"/>
          <w:szCs w:val="24"/>
          <w:rtl/>
        </w:rPr>
        <w:t xml:space="preserve"> ، </w:t>
      </w:r>
      <w:r w:rsidRPr="00110337">
        <w:rPr>
          <w:rFonts w:asciiTheme="minorBidi" w:hAnsiTheme="minorBidi"/>
          <w:sz w:val="24"/>
          <w:szCs w:val="24"/>
          <w:rtl/>
        </w:rPr>
        <w:t>تقييمها</w:t>
      </w:r>
      <w:r>
        <w:rPr>
          <w:rFonts w:asciiTheme="minorBidi" w:hAnsiTheme="minorBidi" w:hint="cs"/>
          <w:sz w:val="24"/>
          <w:szCs w:val="24"/>
          <w:rtl/>
        </w:rPr>
        <w:t xml:space="preserve"> ، </w:t>
      </w:r>
      <w:r w:rsidRPr="00110337">
        <w:rPr>
          <w:rFonts w:asciiTheme="minorBidi" w:hAnsiTheme="minorBidi"/>
          <w:sz w:val="24"/>
          <w:szCs w:val="24"/>
          <w:rtl/>
        </w:rPr>
        <w:t>وتعريفها</w:t>
      </w:r>
      <w:r>
        <w:rPr>
          <w:rFonts w:asciiTheme="minorBidi" w:hAnsiTheme="minorBidi" w:hint="cs"/>
          <w:sz w:val="24"/>
          <w:szCs w:val="24"/>
          <w:rtl/>
        </w:rPr>
        <w:t>.</w:t>
      </w:r>
    </w:p>
    <w:p w14:paraId="453F7AFB"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وقامت المجموعة نفسها لاحقًا بتعريف وترتيب وتحديد أولويات مقاييس الجودة المقترحة وتحويلها إلى</w:t>
      </w:r>
      <w:r>
        <w:rPr>
          <w:rFonts w:asciiTheme="minorBidi" w:hAnsiTheme="minorBidi" w:hint="cs"/>
          <w:sz w:val="24"/>
          <w:szCs w:val="24"/>
          <w:rtl/>
        </w:rPr>
        <w:t xml:space="preserve"> </w:t>
      </w:r>
      <w:r w:rsidRPr="00110337">
        <w:rPr>
          <w:rFonts w:asciiTheme="minorBidi" w:hAnsiTheme="minorBidi"/>
          <w:sz w:val="24"/>
          <w:szCs w:val="24"/>
          <w:rtl/>
        </w:rPr>
        <w:t>مؤشرات أداء رئيسية</w:t>
      </w:r>
      <w:r>
        <w:rPr>
          <w:rFonts w:asciiTheme="minorBidi" w:hAnsiTheme="minorBidi" w:hint="cs"/>
          <w:sz w:val="24"/>
          <w:szCs w:val="24"/>
          <w:rtl/>
        </w:rPr>
        <w:t xml:space="preserve"> </w:t>
      </w:r>
      <w:r w:rsidRPr="00110337">
        <w:rPr>
          <w:rFonts w:asciiTheme="minorBidi" w:hAnsiTheme="minorBidi"/>
          <w:sz w:val="24"/>
          <w:szCs w:val="24"/>
        </w:rPr>
        <w:t xml:space="preserve"> (Key Performance Indicators, KPIs)</w:t>
      </w:r>
      <w:r>
        <w:rPr>
          <w:rFonts w:asciiTheme="minorBidi" w:hAnsiTheme="minorBidi" w:hint="cs"/>
          <w:sz w:val="24"/>
          <w:szCs w:val="24"/>
          <w:rtl/>
        </w:rPr>
        <w:t xml:space="preserve"> </w:t>
      </w:r>
      <w:r w:rsidRPr="00110337">
        <w:rPr>
          <w:rFonts w:asciiTheme="minorBidi" w:hAnsiTheme="minorBidi"/>
          <w:sz w:val="24"/>
          <w:szCs w:val="24"/>
          <w:rtl/>
        </w:rPr>
        <w:t>لرعاية</w:t>
      </w:r>
      <w:r>
        <w:rPr>
          <w:rFonts w:asciiTheme="minorBidi" w:hAnsiTheme="minorBidi" w:hint="cs"/>
          <w:sz w:val="24"/>
          <w:szCs w:val="24"/>
          <w:rtl/>
        </w:rPr>
        <w:t xml:space="preserve"> </w:t>
      </w:r>
      <w:r w:rsidRPr="00110337">
        <w:rPr>
          <w:rFonts w:asciiTheme="minorBidi" w:hAnsiTheme="minorBidi"/>
          <w:sz w:val="24"/>
          <w:szCs w:val="24"/>
        </w:rPr>
        <w:t xml:space="preserve"> CKRT</w:t>
      </w:r>
      <w:r>
        <w:rPr>
          <w:rFonts w:asciiTheme="minorBidi" w:hAnsiTheme="minorBidi" w:hint="cs"/>
          <w:sz w:val="24"/>
          <w:szCs w:val="24"/>
          <w:rtl/>
        </w:rPr>
        <w:t xml:space="preserve">، </w:t>
      </w:r>
      <w:r w:rsidRPr="00110337">
        <w:rPr>
          <w:rFonts w:asciiTheme="minorBidi" w:hAnsiTheme="minorBidi"/>
          <w:sz w:val="24"/>
          <w:szCs w:val="24"/>
          <w:rtl/>
        </w:rPr>
        <w:t>ونُظمت هذه المؤشرات ضمن إطار يتضمن</w:t>
      </w:r>
      <w:r>
        <w:rPr>
          <w:rFonts w:asciiTheme="minorBidi" w:hAnsiTheme="minorBidi" w:hint="cs"/>
          <w:sz w:val="24"/>
          <w:szCs w:val="24"/>
          <w:rtl/>
        </w:rPr>
        <w:t xml:space="preserve">: </w:t>
      </w:r>
    </w:p>
    <w:p w14:paraId="2F5DBD43"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مؤشرات البنية</w:t>
      </w:r>
      <w:r>
        <w:rPr>
          <w:rFonts w:asciiTheme="minorBidi" w:hAnsiTheme="minorBidi" w:hint="cs"/>
          <w:sz w:val="24"/>
          <w:szCs w:val="24"/>
          <w:rtl/>
        </w:rPr>
        <w:t xml:space="preserve"> </w:t>
      </w:r>
      <w:r w:rsidRPr="00110337">
        <w:rPr>
          <w:rFonts w:asciiTheme="minorBidi" w:hAnsiTheme="minorBidi"/>
          <w:sz w:val="24"/>
          <w:szCs w:val="24"/>
        </w:rPr>
        <w:t xml:space="preserve"> (Structure measures)</w:t>
      </w:r>
    </w:p>
    <w:p w14:paraId="3A327128"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مؤشرات العمليات</w:t>
      </w:r>
      <w:r>
        <w:rPr>
          <w:rFonts w:asciiTheme="minorBidi" w:hAnsiTheme="minorBidi" w:hint="cs"/>
          <w:sz w:val="24"/>
          <w:szCs w:val="24"/>
          <w:rtl/>
        </w:rPr>
        <w:t xml:space="preserve"> </w:t>
      </w:r>
      <w:r w:rsidRPr="00110337">
        <w:rPr>
          <w:rFonts w:asciiTheme="minorBidi" w:hAnsiTheme="minorBidi"/>
          <w:sz w:val="24"/>
          <w:szCs w:val="24"/>
        </w:rPr>
        <w:t xml:space="preserve"> (Process measures)</w:t>
      </w:r>
    </w:p>
    <w:p w14:paraId="3C2BDFC0" w14:textId="77777777" w:rsidR="00DD0B26"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مؤشرات النتائج</w:t>
      </w:r>
      <w:r>
        <w:rPr>
          <w:rFonts w:asciiTheme="minorBidi" w:hAnsiTheme="minorBidi" w:hint="cs"/>
          <w:sz w:val="24"/>
          <w:szCs w:val="24"/>
          <w:rtl/>
        </w:rPr>
        <w:t xml:space="preserve"> </w:t>
      </w:r>
      <w:r w:rsidRPr="00110337">
        <w:rPr>
          <w:rFonts w:asciiTheme="minorBidi" w:hAnsiTheme="minorBidi"/>
          <w:sz w:val="24"/>
          <w:szCs w:val="24"/>
        </w:rPr>
        <w:t xml:space="preserve"> (Outcome measures)</w:t>
      </w:r>
    </w:p>
    <w:p w14:paraId="7A33A8E1" w14:textId="77777777" w:rsidR="00DD0B26" w:rsidRDefault="00DD0B26" w:rsidP="00DD0B26">
      <w:pPr>
        <w:bidi/>
        <w:spacing w:after="0"/>
        <w:rPr>
          <w:b/>
          <w:color w:val="17324D"/>
          <w:sz w:val="30"/>
          <w:rtl/>
        </w:rPr>
      </w:pPr>
    </w:p>
    <w:p w14:paraId="6D75A64A" w14:textId="77777777" w:rsidR="00DD0B26" w:rsidRDefault="00DD0B26" w:rsidP="00DD0B26">
      <w:pPr>
        <w:bidi/>
        <w:spacing w:after="0"/>
        <w:rPr>
          <w:rFonts w:asciiTheme="minorBidi" w:hAnsiTheme="minorBidi"/>
          <w:sz w:val="24"/>
          <w:szCs w:val="24"/>
          <w:rtl/>
        </w:rPr>
      </w:pPr>
    </w:p>
    <w:p w14:paraId="2AE2C1AA" w14:textId="77777777" w:rsidR="00DD0B26" w:rsidRPr="00EB7D5F" w:rsidRDefault="00DD0B26" w:rsidP="00DD0B26">
      <w:pPr>
        <w:bidi/>
        <w:spacing w:after="0"/>
        <w:rPr>
          <w:rFonts w:asciiTheme="minorBidi" w:hAnsiTheme="minorBidi"/>
          <w:b/>
          <w:bCs/>
          <w:sz w:val="24"/>
          <w:szCs w:val="24"/>
          <w:rtl/>
        </w:rPr>
      </w:pPr>
      <w:r w:rsidRPr="00EB7D5F">
        <w:rPr>
          <w:rFonts w:asciiTheme="minorBidi" w:hAnsiTheme="minorBidi"/>
          <w:b/>
          <w:bCs/>
          <w:sz w:val="24"/>
          <w:szCs w:val="24"/>
          <w:rtl/>
        </w:rPr>
        <w:t>برامج ضمان الجودة في</w:t>
      </w:r>
      <w:r w:rsidRPr="00EB7D5F">
        <w:rPr>
          <w:rFonts w:asciiTheme="minorBidi" w:hAnsiTheme="minorBidi"/>
          <w:b/>
          <w:bCs/>
          <w:sz w:val="24"/>
          <w:szCs w:val="24"/>
        </w:rPr>
        <w:t xml:space="preserve"> CKRT</w:t>
      </w:r>
    </w:p>
    <w:p w14:paraId="582C6F66"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نُشرت عدة أمثلة على برامج ناجحة لضمان جودة</w:t>
      </w:r>
      <w:r>
        <w:rPr>
          <w:rFonts w:asciiTheme="minorBidi" w:hAnsiTheme="minorBidi" w:hint="cs"/>
          <w:sz w:val="24"/>
          <w:szCs w:val="24"/>
          <w:rtl/>
        </w:rPr>
        <w:t xml:space="preserve"> </w:t>
      </w:r>
      <w:r w:rsidRPr="00110337">
        <w:rPr>
          <w:rFonts w:asciiTheme="minorBidi" w:hAnsiTheme="minorBidi"/>
          <w:sz w:val="24"/>
          <w:szCs w:val="24"/>
        </w:rPr>
        <w:t xml:space="preserve"> CKRT</w:t>
      </w:r>
      <w:r>
        <w:rPr>
          <w:rFonts w:asciiTheme="minorBidi" w:hAnsiTheme="minorBidi" w:hint="cs"/>
          <w:sz w:val="24"/>
          <w:szCs w:val="24"/>
          <w:rtl/>
        </w:rPr>
        <w:t xml:space="preserve">، فقد </w:t>
      </w:r>
      <w:r w:rsidRPr="00110337">
        <w:rPr>
          <w:rFonts w:asciiTheme="minorBidi" w:hAnsiTheme="minorBidi"/>
          <w:sz w:val="24"/>
          <w:szCs w:val="24"/>
          <w:rtl/>
        </w:rPr>
        <w:t>قام</w:t>
      </w:r>
      <w:r w:rsidRPr="00110337">
        <w:rPr>
          <w:rFonts w:asciiTheme="minorBidi" w:hAnsiTheme="minorBidi"/>
          <w:sz w:val="24"/>
          <w:szCs w:val="24"/>
        </w:rPr>
        <w:t xml:space="preserve"> Mottes </w:t>
      </w:r>
      <w:r w:rsidRPr="00110337">
        <w:rPr>
          <w:rFonts w:asciiTheme="minorBidi" w:hAnsiTheme="minorBidi"/>
          <w:sz w:val="24"/>
          <w:szCs w:val="24"/>
          <w:rtl/>
        </w:rPr>
        <w:t>وزملاؤه بإنشاء</w:t>
      </w:r>
      <w:r>
        <w:rPr>
          <w:rFonts w:asciiTheme="minorBidi" w:hAnsiTheme="minorBidi" w:hint="cs"/>
          <w:sz w:val="24"/>
          <w:szCs w:val="24"/>
          <w:rtl/>
        </w:rPr>
        <w:t xml:space="preserve"> </w:t>
      </w:r>
      <w:r w:rsidRPr="00110337">
        <w:rPr>
          <w:rFonts w:asciiTheme="minorBidi" w:hAnsiTheme="minorBidi"/>
          <w:sz w:val="24"/>
          <w:szCs w:val="24"/>
          <w:rtl/>
        </w:rPr>
        <w:t>لوحة متابعة</w:t>
      </w:r>
      <w:r w:rsidRPr="00110337">
        <w:rPr>
          <w:rFonts w:asciiTheme="minorBidi" w:hAnsiTheme="minorBidi"/>
          <w:sz w:val="24"/>
          <w:szCs w:val="24"/>
        </w:rPr>
        <w:t xml:space="preserve"> CKRT (CKRT dashboard)</w:t>
      </w:r>
      <w:r>
        <w:rPr>
          <w:rFonts w:asciiTheme="minorBidi" w:hAnsiTheme="minorBidi" w:hint="cs"/>
          <w:sz w:val="24"/>
          <w:szCs w:val="24"/>
          <w:rtl/>
        </w:rPr>
        <w:t xml:space="preserve"> </w:t>
      </w:r>
      <w:r w:rsidRPr="00110337">
        <w:rPr>
          <w:rFonts w:asciiTheme="minorBidi" w:hAnsiTheme="minorBidi"/>
          <w:sz w:val="24"/>
          <w:szCs w:val="24"/>
          <w:rtl/>
        </w:rPr>
        <w:t>لمراقبة مؤشرات العمليات والنتائج ضمن برنامج</w:t>
      </w:r>
      <w:r w:rsidRPr="00110337">
        <w:rPr>
          <w:rFonts w:asciiTheme="minorBidi" w:hAnsiTheme="minorBidi"/>
          <w:sz w:val="24"/>
          <w:szCs w:val="24"/>
        </w:rPr>
        <w:t xml:space="preserve"> CKRT </w:t>
      </w:r>
      <w:r w:rsidRPr="00110337">
        <w:rPr>
          <w:rFonts w:asciiTheme="minorBidi" w:hAnsiTheme="minorBidi"/>
          <w:sz w:val="24"/>
          <w:szCs w:val="24"/>
          <w:rtl/>
        </w:rPr>
        <w:t>للأطفال</w:t>
      </w:r>
      <w:r>
        <w:rPr>
          <w:rFonts w:asciiTheme="minorBidi" w:hAnsiTheme="minorBidi" w:hint="cs"/>
          <w:sz w:val="24"/>
          <w:szCs w:val="24"/>
          <w:rtl/>
        </w:rPr>
        <w:t>.</w:t>
      </w:r>
    </w:p>
    <w:p w14:paraId="3BBA7153"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وشملت المؤشرات التي تمت مراقبتها</w:t>
      </w:r>
      <w:r>
        <w:rPr>
          <w:rFonts w:asciiTheme="minorBidi" w:hAnsiTheme="minorBidi" w:hint="cs"/>
          <w:sz w:val="24"/>
          <w:szCs w:val="24"/>
          <w:rtl/>
        </w:rPr>
        <w:t xml:space="preserve">: </w:t>
      </w:r>
    </w:p>
    <w:p w14:paraId="7A9A4BC0"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عمر المرشح</w:t>
      </w:r>
    </w:p>
    <w:p w14:paraId="0C58F359" w14:textId="77777777" w:rsidR="00DD0B26" w:rsidRDefault="00DD0B26" w:rsidP="00DD0B26">
      <w:pPr>
        <w:bidi/>
        <w:spacing w:after="0"/>
        <w:rPr>
          <w:rFonts w:asciiTheme="minorBidi" w:hAnsiTheme="minorBidi"/>
          <w:sz w:val="24"/>
          <w:szCs w:val="24"/>
          <w:rtl/>
        </w:rPr>
      </w:pPr>
      <w:r>
        <w:rPr>
          <w:rFonts w:asciiTheme="minorBidi" w:hAnsiTheme="minorBidi" w:hint="cs"/>
          <w:sz w:val="24"/>
          <w:szCs w:val="24"/>
          <w:rtl/>
        </w:rPr>
        <w:lastRenderedPageBreak/>
        <w:t>ـ ا</w:t>
      </w:r>
      <w:r w:rsidRPr="00110337">
        <w:rPr>
          <w:rFonts w:asciiTheme="minorBidi" w:hAnsiTheme="minorBidi"/>
          <w:sz w:val="24"/>
          <w:szCs w:val="24"/>
          <w:rtl/>
        </w:rPr>
        <w:t>لجرعة المُعطاة فعليًّا مقارنةً بالجرعة الموصوفة</w:t>
      </w:r>
    </w:p>
    <w:p w14:paraId="4B7C54B4" w14:textId="77777777" w:rsidR="00DD0B26"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الترشيح الفائق الصافي المُعطى فعليًّا مقارنةً بالمقدار الموصوف</w:t>
      </w:r>
    </w:p>
    <w:p w14:paraId="7BCA6025"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البقاء على قيد الحياة</w:t>
      </w:r>
    </w:p>
    <w:p w14:paraId="1DD754B8"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وأظهر الباحثون أن مراقبة هذه المؤشرات يمكن أن تؤدي إلى</w:t>
      </w:r>
      <w:r>
        <w:rPr>
          <w:rFonts w:asciiTheme="minorBidi" w:hAnsiTheme="minorBidi" w:hint="cs"/>
          <w:sz w:val="24"/>
          <w:szCs w:val="24"/>
          <w:rtl/>
        </w:rPr>
        <w:t xml:space="preserve"> </w:t>
      </w:r>
      <w:r w:rsidRPr="00110337">
        <w:rPr>
          <w:rFonts w:asciiTheme="minorBidi" w:hAnsiTheme="minorBidi"/>
          <w:sz w:val="24"/>
          <w:szCs w:val="24"/>
          <w:rtl/>
        </w:rPr>
        <w:t>تحسين الكفاءة</w:t>
      </w:r>
      <w:r>
        <w:rPr>
          <w:rFonts w:asciiTheme="minorBidi" w:hAnsiTheme="minorBidi" w:hint="cs"/>
          <w:sz w:val="24"/>
          <w:szCs w:val="24"/>
          <w:rtl/>
        </w:rPr>
        <w:t xml:space="preserve"> </w:t>
      </w:r>
      <w:r w:rsidRPr="00110337">
        <w:rPr>
          <w:rFonts w:asciiTheme="minorBidi" w:hAnsiTheme="minorBidi"/>
          <w:sz w:val="24"/>
          <w:szCs w:val="24"/>
          <w:rtl/>
        </w:rPr>
        <w:t>وتحسين الأداء</w:t>
      </w:r>
      <w:r>
        <w:rPr>
          <w:rFonts w:asciiTheme="minorBidi" w:hAnsiTheme="minorBidi" w:hint="cs"/>
          <w:sz w:val="24"/>
          <w:szCs w:val="24"/>
          <w:rtl/>
        </w:rPr>
        <w:t xml:space="preserve">. </w:t>
      </w:r>
    </w:p>
    <w:p w14:paraId="68D9D242" w14:textId="77777777" w:rsidR="00DD0B26" w:rsidRDefault="00DD0B26" w:rsidP="00DD0B26">
      <w:pPr>
        <w:bidi/>
        <w:spacing w:after="0"/>
        <w:rPr>
          <w:rFonts w:asciiTheme="minorBidi" w:hAnsiTheme="minorBidi"/>
          <w:sz w:val="24"/>
          <w:szCs w:val="24"/>
          <w:rtl/>
        </w:rPr>
      </w:pPr>
    </w:p>
    <w:p w14:paraId="07642FC2" w14:textId="77777777" w:rsidR="00DD0B26" w:rsidRPr="00EB7D5F" w:rsidRDefault="00DD0B26" w:rsidP="00DD0B26">
      <w:pPr>
        <w:bidi/>
        <w:spacing w:after="0"/>
        <w:rPr>
          <w:rFonts w:asciiTheme="minorBidi" w:hAnsiTheme="minorBidi"/>
          <w:b/>
          <w:bCs/>
          <w:sz w:val="24"/>
          <w:szCs w:val="24"/>
          <w:rtl/>
        </w:rPr>
      </w:pPr>
      <w:r w:rsidRPr="00EB7D5F">
        <w:rPr>
          <w:rFonts w:asciiTheme="minorBidi" w:hAnsiTheme="minorBidi"/>
          <w:b/>
          <w:bCs/>
          <w:sz w:val="24"/>
          <w:szCs w:val="24"/>
          <w:rtl/>
        </w:rPr>
        <w:t>تحسين الأداء باستخدام مؤشرات الجودة</w:t>
      </w:r>
    </w:p>
    <w:p w14:paraId="2988C9AB"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أظهر</w:t>
      </w:r>
      <w:r w:rsidRPr="00110337">
        <w:rPr>
          <w:rFonts w:asciiTheme="minorBidi" w:hAnsiTheme="minorBidi"/>
          <w:sz w:val="24"/>
          <w:szCs w:val="24"/>
        </w:rPr>
        <w:t xml:space="preserve"> Ruiz </w:t>
      </w:r>
      <w:r w:rsidRPr="00110337">
        <w:rPr>
          <w:rFonts w:asciiTheme="minorBidi" w:hAnsiTheme="minorBidi"/>
          <w:sz w:val="24"/>
          <w:szCs w:val="24"/>
          <w:rtl/>
        </w:rPr>
        <w:t>وزملاؤه ضمن برنامج</w:t>
      </w:r>
      <w:r w:rsidRPr="00110337">
        <w:rPr>
          <w:rFonts w:asciiTheme="minorBidi" w:hAnsiTheme="minorBidi"/>
          <w:sz w:val="24"/>
          <w:szCs w:val="24"/>
        </w:rPr>
        <w:t xml:space="preserve"> CKRT </w:t>
      </w:r>
      <w:r w:rsidRPr="00110337">
        <w:rPr>
          <w:rFonts w:asciiTheme="minorBidi" w:hAnsiTheme="minorBidi"/>
          <w:sz w:val="24"/>
          <w:szCs w:val="24"/>
          <w:rtl/>
        </w:rPr>
        <w:t>للبالغين أنه يمكن تحقيق تحسينات في الأداء من خلال</w:t>
      </w:r>
      <w:r>
        <w:rPr>
          <w:rFonts w:asciiTheme="minorBidi" w:hAnsiTheme="minorBidi" w:hint="cs"/>
          <w:sz w:val="24"/>
          <w:szCs w:val="24"/>
          <w:rtl/>
        </w:rPr>
        <w:t xml:space="preserve">: </w:t>
      </w:r>
    </w:p>
    <w:p w14:paraId="7FAD74B1"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مراقبة مؤشرات أداء رئيسية مشابهة</w:t>
      </w:r>
      <w:r w:rsidRPr="00110337">
        <w:rPr>
          <w:rFonts w:asciiTheme="minorBidi" w:hAnsiTheme="minorBidi"/>
          <w:sz w:val="24"/>
          <w:szCs w:val="24"/>
        </w:rPr>
        <w:t>.</w:t>
      </w:r>
    </w:p>
    <w:p w14:paraId="3C62A6C2"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تقديم تعليم موجّه بناءً على عمليات التدقيق والتغذية الراجعة</w:t>
      </w:r>
      <w:r w:rsidRPr="00110337">
        <w:rPr>
          <w:rFonts w:asciiTheme="minorBidi" w:hAnsiTheme="minorBidi"/>
          <w:sz w:val="24"/>
          <w:szCs w:val="24"/>
        </w:rPr>
        <w:t>.</w:t>
      </w:r>
    </w:p>
    <w:p w14:paraId="2FA42F14"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التركيز خصوصًا على مؤشرات الأداء ذات النتائج الأضعف</w:t>
      </w:r>
      <w:r w:rsidRPr="00110337">
        <w:rPr>
          <w:rFonts w:asciiTheme="minorBidi" w:hAnsiTheme="minorBidi"/>
          <w:sz w:val="24"/>
          <w:szCs w:val="24"/>
        </w:rPr>
        <w:t>.</w:t>
      </w:r>
    </w:p>
    <w:p w14:paraId="48AEDA7F"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وقد أدت هذه الاستراتيجية إلى تحسينات في</w:t>
      </w:r>
      <w:r>
        <w:rPr>
          <w:rFonts w:asciiTheme="minorBidi" w:hAnsiTheme="minorBidi" w:hint="cs"/>
          <w:sz w:val="24"/>
          <w:szCs w:val="24"/>
          <w:rtl/>
        </w:rPr>
        <w:t xml:space="preserve"> </w:t>
      </w:r>
      <w:r w:rsidRPr="00110337">
        <w:rPr>
          <w:rFonts w:asciiTheme="minorBidi" w:hAnsiTheme="minorBidi"/>
          <w:sz w:val="24"/>
          <w:szCs w:val="24"/>
          <w:rtl/>
        </w:rPr>
        <w:t xml:space="preserve">عمر </w:t>
      </w:r>
      <w:r>
        <w:rPr>
          <w:rFonts w:asciiTheme="minorBidi" w:hAnsiTheme="minorBidi" w:hint="cs"/>
          <w:sz w:val="24"/>
          <w:szCs w:val="24"/>
          <w:rtl/>
        </w:rPr>
        <w:t xml:space="preserve">الفلتر ، </w:t>
      </w:r>
      <w:r w:rsidRPr="00110337">
        <w:rPr>
          <w:rFonts w:asciiTheme="minorBidi" w:hAnsiTheme="minorBidi"/>
          <w:sz w:val="24"/>
          <w:szCs w:val="24"/>
          <w:rtl/>
        </w:rPr>
        <w:t>تواتر إنذارات الجهاز</w:t>
      </w:r>
      <w:r>
        <w:rPr>
          <w:rFonts w:asciiTheme="minorBidi" w:hAnsiTheme="minorBidi" w:hint="cs"/>
          <w:sz w:val="24"/>
          <w:szCs w:val="24"/>
          <w:rtl/>
        </w:rPr>
        <w:t xml:space="preserve"> ، و </w:t>
      </w:r>
      <w:r w:rsidRPr="00110337">
        <w:rPr>
          <w:rFonts w:asciiTheme="minorBidi" w:hAnsiTheme="minorBidi"/>
          <w:sz w:val="24"/>
          <w:szCs w:val="24"/>
          <w:rtl/>
        </w:rPr>
        <w:t>التكلفة</w:t>
      </w:r>
      <w:r>
        <w:rPr>
          <w:rFonts w:asciiTheme="minorBidi" w:hAnsiTheme="minorBidi" w:hint="cs"/>
          <w:sz w:val="24"/>
          <w:szCs w:val="24"/>
          <w:rtl/>
        </w:rPr>
        <w:t xml:space="preserve"> ، </w:t>
      </w:r>
      <w:r w:rsidRPr="00110337">
        <w:rPr>
          <w:rFonts w:asciiTheme="minorBidi" w:hAnsiTheme="minorBidi"/>
          <w:sz w:val="24"/>
          <w:szCs w:val="24"/>
          <w:rtl/>
        </w:rPr>
        <w:t>مع الحفاظ على نتائج سريرية مماثلة لدى المرضى</w:t>
      </w:r>
      <w:r>
        <w:rPr>
          <w:rFonts w:asciiTheme="minorBidi" w:hAnsiTheme="minorBidi" w:hint="cs"/>
          <w:sz w:val="24"/>
          <w:szCs w:val="24"/>
          <w:rtl/>
        </w:rPr>
        <w:t>.</w:t>
      </w:r>
    </w:p>
    <w:p w14:paraId="770117DE" w14:textId="77777777" w:rsidR="00DD0B26" w:rsidRDefault="00DD0B26" w:rsidP="00DD0B26">
      <w:pPr>
        <w:bidi/>
        <w:spacing w:after="0"/>
        <w:rPr>
          <w:rFonts w:asciiTheme="minorBidi" w:hAnsiTheme="minorBidi"/>
          <w:sz w:val="24"/>
          <w:szCs w:val="24"/>
          <w:rtl/>
        </w:rPr>
      </w:pPr>
    </w:p>
    <w:p w14:paraId="7FFDA8C3" w14:textId="77777777" w:rsidR="00DD0B26" w:rsidRPr="00EB7D5F" w:rsidRDefault="00DD0B26" w:rsidP="00DD0B26">
      <w:pPr>
        <w:bidi/>
        <w:spacing w:after="0"/>
        <w:rPr>
          <w:rFonts w:asciiTheme="minorBidi" w:hAnsiTheme="minorBidi"/>
          <w:b/>
          <w:bCs/>
          <w:sz w:val="24"/>
          <w:szCs w:val="24"/>
          <w:rtl/>
        </w:rPr>
      </w:pPr>
      <w:r w:rsidRPr="00EB7D5F">
        <w:rPr>
          <w:rFonts w:asciiTheme="minorBidi" w:hAnsiTheme="minorBidi"/>
          <w:b/>
          <w:bCs/>
          <w:sz w:val="24"/>
          <w:szCs w:val="24"/>
          <w:rtl/>
        </w:rPr>
        <w:t>تطبيق برامج الجودة في</w:t>
      </w:r>
      <w:r w:rsidRPr="00EB7D5F">
        <w:rPr>
          <w:rFonts w:asciiTheme="minorBidi" w:hAnsiTheme="minorBidi"/>
          <w:b/>
          <w:bCs/>
          <w:sz w:val="24"/>
          <w:szCs w:val="24"/>
        </w:rPr>
        <w:t xml:space="preserve"> CKRT</w:t>
      </w:r>
    </w:p>
    <w:p w14:paraId="414050A1"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لا تزال أبحاث إضافية جارية لتحديد</w:t>
      </w:r>
      <w:r>
        <w:rPr>
          <w:rFonts w:asciiTheme="minorBidi" w:hAnsiTheme="minorBidi" w:hint="cs"/>
          <w:sz w:val="24"/>
          <w:szCs w:val="24"/>
          <w:rtl/>
        </w:rPr>
        <w:t xml:space="preserve">: </w:t>
      </w:r>
    </w:p>
    <w:p w14:paraId="5B61F9D7"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أي مؤشرات الأداء الرئيسية لها التأثير الأكبر في النتائج التي تهم المرضى</w:t>
      </w:r>
    </w:p>
    <w:p w14:paraId="58BAA6A3"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وأيها أكثر تأثيرًا في نتائج النظام الصحي</w:t>
      </w:r>
      <w:r>
        <w:rPr>
          <w:rFonts w:asciiTheme="minorBidi" w:hAnsiTheme="minorBidi" w:hint="cs"/>
          <w:sz w:val="24"/>
          <w:szCs w:val="24"/>
          <w:rtl/>
        </w:rPr>
        <w:t>.</w:t>
      </w:r>
    </w:p>
    <w:p w14:paraId="0B97ACE2" w14:textId="77777777" w:rsidR="00DD0B26" w:rsidRPr="00110337"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110337">
        <w:rPr>
          <w:rFonts w:asciiTheme="minorBidi" w:hAnsiTheme="minorBidi"/>
          <w:sz w:val="24"/>
          <w:szCs w:val="24"/>
          <w:rtl/>
        </w:rPr>
        <w:t>وأفضل الطرق لتطبيق برامج جودة</w:t>
      </w:r>
      <w:r w:rsidRPr="00110337">
        <w:rPr>
          <w:rFonts w:asciiTheme="minorBidi" w:hAnsiTheme="minorBidi"/>
          <w:sz w:val="24"/>
          <w:szCs w:val="24"/>
        </w:rPr>
        <w:t xml:space="preserve"> CKRT </w:t>
      </w:r>
      <w:r w:rsidRPr="00110337">
        <w:rPr>
          <w:rFonts w:asciiTheme="minorBidi" w:hAnsiTheme="minorBidi"/>
          <w:sz w:val="24"/>
          <w:szCs w:val="24"/>
          <w:rtl/>
        </w:rPr>
        <w:t>بصورة فعّالة</w:t>
      </w:r>
      <w:r>
        <w:rPr>
          <w:rFonts w:asciiTheme="minorBidi" w:hAnsiTheme="minorBidi" w:hint="cs"/>
          <w:sz w:val="24"/>
          <w:szCs w:val="24"/>
          <w:rtl/>
        </w:rPr>
        <w:t>.</w:t>
      </w:r>
    </w:p>
    <w:p w14:paraId="54D022A2" w14:textId="77777777" w:rsidR="00DD0B26" w:rsidRPr="00110337" w:rsidRDefault="00DD0B26" w:rsidP="00DD0B26">
      <w:pPr>
        <w:bidi/>
        <w:spacing w:after="0"/>
        <w:rPr>
          <w:rFonts w:asciiTheme="minorBidi" w:hAnsiTheme="minorBidi"/>
          <w:sz w:val="24"/>
          <w:szCs w:val="24"/>
          <w:rtl/>
        </w:rPr>
      </w:pPr>
      <w:r w:rsidRPr="00110337">
        <w:rPr>
          <w:rFonts w:asciiTheme="minorBidi" w:hAnsiTheme="minorBidi"/>
          <w:sz w:val="24"/>
          <w:szCs w:val="24"/>
          <w:rtl/>
        </w:rPr>
        <w:t>وفي الوقت الحالي، ينبغي عند إنشاء برنامج لضمان جودة</w:t>
      </w:r>
      <w:r w:rsidRPr="00110337">
        <w:rPr>
          <w:rFonts w:asciiTheme="minorBidi" w:hAnsiTheme="minorBidi"/>
          <w:sz w:val="24"/>
          <w:szCs w:val="24"/>
        </w:rPr>
        <w:t xml:space="preserve"> CKRT </w:t>
      </w:r>
      <w:r w:rsidRPr="00110337">
        <w:rPr>
          <w:rFonts w:asciiTheme="minorBidi" w:hAnsiTheme="minorBidi"/>
          <w:sz w:val="24"/>
          <w:szCs w:val="24"/>
          <w:rtl/>
        </w:rPr>
        <w:t>أخذ العوامل المحلية التالية في الحسبان</w:t>
      </w:r>
      <w:r>
        <w:rPr>
          <w:rFonts w:asciiTheme="minorBidi" w:hAnsiTheme="minorBidi" w:hint="cs"/>
          <w:sz w:val="24"/>
          <w:szCs w:val="24"/>
          <w:rtl/>
        </w:rPr>
        <w:t>:</w:t>
      </w:r>
    </w:p>
    <w:p w14:paraId="4FCD7419" w14:textId="77777777" w:rsidR="00DD0B26" w:rsidRPr="00EB7D5F"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EB7D5F">
        <w:rPr>
          <w:rFonts w:asciiTheme="minorBidi" w:hAnsiTheme="minorBidi" w:hint="cs"/>
          <w:sz w:val="24"/>
          <w:szCs w:val="24"/>
          <w:rtl/>
        </w:rPr>
        <w:t>الخصائص</w:t>
      </w:r>
      <w:r w:rsidRPr="00EB7D5F">
        <w:rPr>
          <w:rFonts w:asciiTheme="minorBidi" w:hAnsiTheme="minorBidi"/>
          <w:sz w:val="24"/>
          <w:szCs w:val="24"/>
          <w:rtl/>
        </w:rPr>
        <w:t xml:space="preserve"> </w:t>
      </w:r>
      <w:r w:rsidRPr="00EB7D5F">
        <w:rPr>
          <w:rFonts w:asciiTheme="minorBidi" w:hAnsiTheme="minorBidi" w:hint="cs"/>
          <w:sz w:val="24"/>
          <w:szCs w:val="24"/>
          <w:rtl/>
        </w:rPr>
        <w:t>الديموغرافية</w:t>
      </w:r>
      <w:r w:rsidRPr="00EB7D5F">
        <w:rPr>
          <w:rFonts w:asciiTheme="minorBidi" w:hAnsiTheme="minorBidi"/>
          <w:sz w:val="24"/>
          <w:szCs w:val="24"/>
          <w:rtl/>
        </w:rPr>
        <w:t xml:space="preserve"> </w:t>
      </w:r>
      <w:r w:rsidRPr="00EB7D5F">
        <w:rPr>
          <w:rFonts w:asciiTheme="minorBidi" w:hAnsiTheme="minorBidi" w:hint="cs"/>
          <w:sz w:val="24"/>
          <w:szCs w:val="24"/>
          <w:rtl/>
        </w:rPr>
        <w:t>للمرضى</w:t>
      </w:r>
      <w:r w:rsidRPr="00EB7D5F">
        <w:rPr>
          <w:rFonts w:asciiTheme="minorBidi" w:hAnsiTheme="minorBidi"/>
          <w:sz w:val="24"/>
          <w:szCs w:val="24"/>
          <w:rtl/>
        </w:rPr>
        <w:t xml:space="preserve"> </w:t>
      </w:r>
      <w:r w:rsidRPr="00EB7D5F">
        <w:rPr>
          <w:rFonts w:asciiTheme="minorBidi" w:hAnsiTheme="minorBidi" w:hint="cs"/>
          <w:sz w:val="24"/>
          <w:szCs w:val="24"/>
          <w:rtl/>
        </w:rPr>
        <w:t>المحليين</w:t>
      </w:r>
      <w:r w:rsidRPr="00EB7D5F">
        <w:rPr>
          <w:rFonts w:asciiTheme="minorBidi" w:hAnsiTheme="minorBidi"/>
          <w:sz w:val="24"/>
          <w:szCs w:val="24"/>
        </w:rPr>
        <w:t>.</w:t>
      </w:r>
    </w:p>
    <w:p w14:paraId="17EBB55B" w14:textId="77777777" w:rsidR="00DD0B26" w:rsidRPr="00EB7D5F"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EB7D5F">
        <w:rPr>
          <w:rFonts w:asciiTheme="minorBidi" w:hAnsiTheme="minorBidi" w:hint="cs"/>
          <w:sz w:val="24"/>
          <w:szCs w:val="24"/>
          <w:rtl/>
        </w:rPr>
        <w:t>أنماط</w:t>
      </w:r>
      <w:r w:rsidRPr="00EB7D5F">
        <w:rPr>
          <w:rFonts w:asciiTheme="minorBidi" w:hAnsiTheme="minorBidi"/>
          <w:sz w:val="24"/>
          <w:szCs w:val="24"/>
          <w:rtl/>
        </w:rPr>
        <w:t xml:space="preserve"> </w:t>
      </w:r>
      <w:r w:rsidRPr="00EB7D5F">
        <w:rPr>
          <w:rFonts w:asciiTheme="minorBidi" w:hAnsiTheme="minorBidi" w:hint="cs"/>
          <w:sz w:val="24"/>
          <w:szCs w:val="24"/>
          <w:rtl/>
        </w:rPr>
        <w:t>الممارسة</w:t>
      </w:r>
      <w:r w:rsidRPr="00EB7D5F">
        <w:rPr>
          <w:rFonts w:asciiTheme="minorBidi" w:hAnsiTheme="minorBidi"/>
          <w:sz w:val="24"/>
          <w:szCs w:val="24"/>
          <w:rtl/>
        </w:rPr>
        <w:t xml:space="preserve"> </w:t>
      </w:r>
      <w:r w:rsidRPr="00EB7D5F">
        <w:rPr>
          <w:rFonts w:asciiTheme="minorBidi" w:hAnsiTheme="minorBidi" w:hint="cs"/>
          <w:sz w:val="24"/>
          <w:szCs w:val="24"/>
          <w:rtl/>
        </w:rPr>
        <w:t>السريرية</w:t>
      </w:r>
      <w:r w:rsidRPr="00EB7D5F">
        <w:rPr>
          <w:rFonts w:asciiTheme="minorBidi" w:hAnsiTheme="minorBidi"/>
          <w:sz w:val="24"/>
          <w:szCs w:val="24"/>
          <w:rtl/>
        </w:rPr>
        <w:t xml:space="preserve"> </w:t>
      </w:r>
      <w:r w:rsidRPr="00EB7D5F">
        <w:rPr>
          <w:rFonts w:asciiTheme="minorBidi" w:hAnsiTheme="minorBidi" w:hint="cs"/>
          <w:sz w:val="24"/>
          <w:szCs w:val="24"/>
          <w:rtl/>
        </w:rPr>
        <w:t>المحلية</w:t>
      </w:r>
      <w:r w:rsidRPr="00EB7D5F">
        <w:rPr>
          <w:rFonts w:asciiTheme="minorBidi" w:hAnsiTheme="minorBidi"/>
          <w:sz w:val="24"/>
          <w:szCs w:val="24"/>
        </w:rPr>
        <w:t>.</w:t>
      </w:r>
    </w:p>
    <w:p w14:paraId="48992878" w14:textId="77777777" w:rsidR="00DD0B26" w:rsidRPr="00EB7D5F"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EB7D5F">
        <w:rPr>
          <w:rFonts w:asciiTheme="minorBidi" w:hAnsiTheme="minorBidi" w:hint="cs"/>
          <w:sz w:val="24"/>
          <w:szCs w:val="24"/>
          <w:rtl/>
        </w:rPr>
        <w:t>البنية</w:t>
      </w:r>
      <w:r w:rsidRPr="00EB7D5F">
        <w:rPr>
          <w:rFonts w:asciiTheme="minorBidi" w:hAnsiTheme="minorBidi"/>
          <w:sz w:val="24"/>
          <w:szCs w:val="24"/>
          <w:rtl/>
        </w:rPr>
        <w:t xml:space="preserve"> </w:t>
      </w:r>
      <w:r w:rsidRPr="00EB7D5F">
        <w:rPr>
          <w:rFonts w:asciiTheme="minorBidi" w:hAnsiTheme="minorBidi" w:hint="cs"/>
          <w:sz w:val="24"/>
          <w:szCs w:val="24"/>
          <w:rtl/>
        </w:rPr>
        <w:t>التحتية</w:t>
      </w:r>
      <w:r w:rsidRPr="00EB7D5F">
        <w:rPr>
          <w:rFonts w:asciiTheme="minorBidi" w:hAnsiTheme="minorBidi"/>
          <w:sz w:val="24"/>
          <w:szCs w:val="24"/>
          <w:rtl/>
        </w:rPr>
        <w:t xml:space="preserve"> </w:t>
      </w:r>
      <w:r w:rsidRPr="00EB7D5F">
        <w:rPr>
          <w:rFonts w:asciiTheme="minorBidi" w:hAnsiTheme="minorBidi" w:hint="cs"/>
          <w:sz w:val="24"/>
          <w:szCs w:val="24"/>
          <w:rtl/>
        </w:rPr>
        <w:t>المحلية</w:t>
      </w:r>
      <w:r w:rsidRPr="00EB7D5F">
        <w:rPr>
          <w:rFonts w:asciiTheme="minorBidi" w:hAnsiTheme="minorBidi"/>
          <w:sz w:val="24"/>
          <w:szCs w:val="24"/>
          <w:rtl/>
        </w:rPr>
        <w:t xml:space="preserve"> </w:t>
      </w:r>
      <w:r w:rsidRPr="00EB7D5F">
        <w:rPr>
          <w:rFonts w:asciiTheme="minorBidi" w:hAnsiTheme="minorBidi" w:hint="cs"/>
          <w:sz w:val="24"/>
          <w:szCs w:val="24"/>
          <w:rtl/>
        </w:rPr>
        <w:t>لتكنولوجيا</w:t>
      </w:r>
      <w:r w:rsidRPr="00EB7D5F">
        <w:rPr>
          <w:rFonts w:asciiTheme="minorBidi" w:hAnsiTheme="minorBidi"/>
          <w:sz w:val="24"/>
          <w:szCs w:val="24"/>
          <w:rtl/>
        </w:rPr>
        <w:t xml:space="preserve"> </w:t>
      </w:r>
      <w:r w:rsidRPr="00EB7D5F">
        <w:rPr>
          <w:rFonts w:asciiTheme="minorBidi" w:hAnsiTheme="minorBidi" w:hint="cs"/>
          <w:sz w:val="24"/>
          <w:szCs w:val="24"/>
          <w:rtl/>
        </w:rPr>
        <w:t>المعلومات</w:t>
      </w:r>
      <w:r w:rsidRPr="00EB7D5F">
        <w:rPr>
          <w:rFonts w:asciiTheme="minorBidi" w:hAnsiTheme="minorBidi"/>
          <w:sz w:val="24"/>
          <w:szCs w:val="24"/>
        </w:rPr>
        <w:t>.</w:t>
      </w:r>
    </w:p>
    <w:p w14:paraId="36B25737" w14:textId="77777777" w:rsidR="00DD0B26" w:rsidRPr="00EB7D5F"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EB7D5F">
        <w:rPr>
          <w:rFonts w:asciiTheme="minorBidi" w:hAnsiTheme="minorBidi" w:hint="cs"/>
          <w:sz w:val="24"/>
          <w:szCs w:val="24"/>
          <w:rtl/>
        </w:rPr>
        <w:t>الخبرة</w:t>
      </w:r>
      <w:r w:rsidRPr="00EB7D5F">
        <w:rPr>
          <w:rFonts w:asciiTheme="minorBidi" w:hAnsiTheme="minorBidi"/>
          <w:sz w:val="24"/>
          <w:szCs w:val="24"/>
          <w:rtl/>
        </w:rPr>
        <w:t xml:space="preserve"> </w:t>
      </w:r>
      <w:r w:rsidRPr="00EB7D5F">
        <w:rPr>
          <w:rFonts w:asciiTheme="minorBidi" w:hAnsiTheme="minorBidi" w:hint="cs"/>
          <w:sz w:val="24"/>
          <w:szCs w:val="24"/>
          <w:rtl/>
        </w:rPr>
        <w:t>المتوفرة</w:t>
      </w:r>
      <w:r w:rsidRPr="00EB7D5F">
        <w:rPr>
          <w:rFonts w:asciiTheme="minorBidi" w:hAnsiTheme="minorBidi"/>
          <w:sz w:val="24"/>
          <w:szCs w:val="24"/>
          <w:rtl/>
        </w:rPr>
        <w:t xml:space="preserve"> </w:t>
      </w:r>
      <w:r w:rsidRPr="00EB7D5F">
        <w:rPr>
          <w:rFonts w:asciiTheme="minorBidi" w:hAnsiTheme="minorBidi" w:hint="cs"/>
          <w:sz w:val="24"/>
          <w:szCs w:val="24"/>
          <w:rtl/>
        </w:rPr>
        <w:t>محليًّا</w:t>
      </w:r>
      <w:r w:rsidRPr="00EB7D5F">
        <w:rPr>
          <w:rFonts w:asciiTheme="minorBidi" w:hAnsiTheme="minorBidi"/>
          <w:sz w:val="24"/>
          <w:szCs w:val="24"/>
        </w:rPr>
        <w:t>.</w:t>
      </w:r>
    </w:p>
    <w:p w14:paraId="72C8A7BA" w14:textId="77777777" w:rsidR="00DD0B26" w:rsidRDefault="00DD0B26" w:rsidP="00DD0B26">
      <w:pPr>
        <w:bidi/>
        <w:spacing w:after="0"/>
        <w:rPr>
          <w:rFonts w:asciiTheme="minorBidi" w:hAnsiTheme="minorBidi"/>
          <w:sz w:val="24"/>
          <w:szCs w:val="24"/>
          <w:rtl/>
        </w:rPr>
      </w:pPr>
      <w:r>
        <w:rPr>
          <w:rFonts w:asciiTheme="minorBidi" w:hAnsiTheme="minorBidi" w:hint="cs"/>
          <w:sz w:val="24"/>
          <w:szCs w:val="24"/>
          <w:rtl/>
        </w:rPr>
        <w:t xml:space="preserve">ـ </w:t>
      </w:r>
      <w:r w:rsidRPr="00EB7D5F">
        <w:rPr>
          <w:rFonts w:asciiTheme="minorBidi" w:hAnsiTheme="minorBidi" w:hint="cs"/>
          <w:sz w:val="24"/>
          <w:szCs w:val="24"/>
          <w:rtl/>
        </w:rPr>
        <w:t>البيانات</w:t>
      </w:r>
      <w:r w:rsidRPr="00EB7D5F">
        <w:rPr>
          <w:rFonts w:asciiTheme="minorBidi" w:hAnsiTheme="minorBidi"/>
          <w:sz w:val="24"/>
          <w:szCs w:val="24"/>
          <w:rtl/>
        </w:rPr>
        <w:t xml:space="preserve"> </w:t>
      </w:r>
      <w:r w:rsidRPr="00EB7D5F">
        <w:rPr>
          <w:rFonts w:asciiTheme="minorBidi" w:hAnsiTheme="minorBidi" w:hint="cs"/>
          <w:sz w:val="24"/>
          <w:szCs w:val="24"/>
          <w:rtl/>
        </w:rPr>
        <w:t>الأساسية</w:t>
      </w:r>
      <w:r w:rsidRPr="00EB7D5F">
        <w:rPr>
          <w:rFonts w:asciiTheme="minorBidi" w:hAnsiTheme="minorBidi"/>
          <w:sz w:val="24"/>
          <w:szCs w:val="24"/>
          <w:rtl/>
        </w:rPr>
        <w:t xml:space="preserve"> </w:t>
      </w:r>
      <w:r w:rsidRPr="00EB7D5F">
        <w:rPr>
          <w:rFonts w:asciiTheme="minorBidi" w:hAnsiTheme="minorBidi" w:hint="cs"/>
          <w:sz w:val="24"/>
          <w:szCs w:val="24"/>
          <w:rtl/>
        </w:rPr>
        <w:t>لمؤشرات</w:t>
      </w:r>
      <w:r w:rsidRPr="00EB7D5F">
        <w:rPr>
          <w:rFonts w:asciiTheme="minorBidi" w:hAnsiTheme="minorBidi"/>
          <w:sz w:val="24"/>
          <w:szCs w:val="24"/>
          <w:rtl/>
        </w:rPr>
        <w:t xml:space="preserve"> </w:t>
      </w:r>
      <w:r w:rsidRPr="00EB7D5F">
        <w:rPr>
          <w:rFonts w:asciiTheme="minorBidi" w:hAnsiTheme="minorBidi" w:hint="cs"/>
          <w:sz w:val="24"/>
          <w:szCs w:val="24"/>
          <w:rtl/>
        </w:rPr>
        <w:t>الأداء</w:t>
      </w:r>
      <w:r w:rsidRPr="00EB7D5F">
        <w:rPr>
          <w:rFonts w:asciiTheme="minorBidi" w:hAnsiTheme="minorBidi"/>
          <w:sz w:val="24"/>
          <w:szCs w:val="24"/>
          <w:rtl/>
        </w:rPr>
        <w:t xml:space="preserve"> </w:t>
      </w:r>
      <w:r w:rsidRPr="00EB7D5F">
        <w:rPr>
          <w:rFonts w:asciiTheme="minorBidi" w:hAnsiTheme="minorBidi" w:hint="cs"/>
          <w:sz w:val="24"/>
          <w:szCs w:val="24"/>
          <w:rtl/>
        </w:rPr>
        <w:t>الرئيسية</w:t>
      </w:r>
      <w:r w:rsidRPr="00EB7D5F">
        <w:rPr>
          <w:rFonts w:asciiTheme="minorBidi" w:hAnsiTheme="minorBidi"/>
          <w:sz w:val="24"/>
          <w:szCs w:val="24"/>
          <w:rtl/>
        </w:rPr>
        <w:t xml:space="preserve"> </w:t>
      </w:r>
      <w:r w:rsidRPr="00EB7D5F">
        <w:rPr>
          <w:rFonts w:asciiTheme="minorBidi" w:hAnsiTheme="minorBidi" w:hint="cs"/>
          <w:sz w:val="24"/>
          <w:szCs w:val="24"/>
          <w:rtl/>
        </w:rPr>
        <w:t>قبل</w:t>
      </w:r>
      <w:r w:rsidRPr="00EB7D5F">
        <w:rPr>
          <w:rFonts w:asciiTheme="minorBidi" w:hAnsiTheme="minorBidi"/>
          <w:sz w:val="24"/>
          <w:szCs w:val="24"/>
          <w:rtl/>
        </w:rPr>
        <w:t xml:space="preserve"> </w:t>
      </w:r>
      <w:r w:rsidRPr="00EB7D5F">
        <w:rPr>
          <w:rFonts w:asciiTheme="minorBidi" w:hAnsiTheme="minorBidi" w:hint="cs"/>
          <w:sz w:val="24"/>
          <w:szCs w:val="24"/>
          <w:rtl/>
        </w:rPr>
        <w:t>بدء</w:t>
      </w:r>
      <w:r w:rsidRPr="00EB7D5F">
        <w:rPr>
          <w:rFonts w:asciiTheme="minorBidi" w:hAnsiTheme="minorBidi"/>
          <w:sz w:val="24"/>
          <w:szCs w:val="24"/>
          <w:rtl/>
        </w:rPr>
        <w:t xml:space="preserve"> </w:t>
      </w:r>
      <w:r w:rsidRPr="00EB7D5F">
        <w:rPr>
          <w:rFonts w:asciiTheme="minorBidi" w:hAnsiTheme="minorBidi" w:hint="cs"/>
          <w:sz w:val="24"/>
          <w:szCs w:val="24"/>
          <w:rtl/>
        </w:rPr>
        <w:t>برنامج</w:t>
      </w:r>
      <w:r w:rsidRPr="00EB7D5F">
        <w:rPr>
          <w:rFonts w:asciiTheme="minorBidi" w:hAnsiTheme="minorBidi"/>
          <w:sz w:val="24"/>
          <w:szCs w:val="24"/>
          <w:rtl/>
        </w:rPr>
        <w:t xml:space="preserve"> </w:t>
      </w:r>
      <w:r w:rsidRPr="00EB7D5F">
        <w:rPr>
          <w:rFonts w:asciiTheme="minorBidi" w:hAnsiTheme="minorBidi" w:hint="cs"/>
          <w:sz w:val="24"/>
          <w:szCs w:val="24"/>
          <w:rtl/>
        </w:rPr>
        <w:t>التحسين</w:t>
      </w:r>
      <w:r w:rsidRPr="00EB7D5F">
        <w:rPr>
          <w:rFonts w:asciiTheme="minorBidi" w:hAnsiTheme="minorBidi"/>
          <w:sz w:val="24"/>
          <w:szCs w:val="24"/>
          <w:rtl/>
        </w:rPr>
        <w:t>.</w:t>
      </w:r>
    </w:p>
    <w:p w14:paraId="02618214" w14:textId="77777777" w:rsidR="00DD0B26" w:rsidRPr="00110337" w:rsidRDefault="00DD0B26" w:rsidP="00DD0B26">
      <w:pPr>
        <w:bidi/>
        <w:spacing w:after="0"/>
        <w:rPr>
          <w:rFonts w:asciiTheme="minorBidi" w:hAnsiTheme="minorBidi"/>
          <w:sz w:val="24"/>
          <w:szCs w:val="24"/>
        </w:rPr>
      </w:pPr>
    </w:p>
    <w:p w14:paraId="57EB0F0B" w14:textId="7FFD16B1" w:rsidR="009E31D7" w:rsidRDefault="00000000" w:rsidP="003600A9">
      <w:pPr>
        <w:pStyle w:val="berschrift1"/>
        <w:bidi/>
        <w:spacing w:after="100" w:line="283" w:lineRule="auto"/>
      </w:pPr>
      <w:r>
        <w:rPr>
          <w:rFonts w:ascii="Arial" w:hAnsi="Arial" w:cs="Arial"/>
          <w:rtl/>
        </w:rPr>
        <w:t>عملية</w:t>
      </w:r>
    </w:p>
    <w:p w14:paraId="6FACF90D" w14:textId="77777777" w:rsidR="009E31D7" w:rsidRDefault="00000000" w:rsidP="003600A9">
      <w:pPr>
        <w:pStyle w:val="Aufzhlungszeichen"/>
        <w:bidi/>
        <w:spacing w:after="60"/>
      </w:pPr>
      <w:r>
        <w:rPr>
          <w:color w:val="263746"/>
          <w:rtl/>
        </w:rPr>
        <w:t>توحيد طريقة توثيق وصفة CKRT والجرعة المحققة.</w:t>
      </w:r>
    </w:p>
    <w:p w14:paraId="59DB62AE" w14:textId="77777777" w:rsidR="009E31D7" w:rsidRDefault="00000000" w:rsidP="003600A9">
      <w:pPr>
        <w:pStyle w:val="Aufzhlungszeichen"/>
        <w:bidi/>
        <w:spacing w:after="60"/>
      </w:pPr>
      <w:r>
        <w:rPr>
          <w:color w:val="263746"/>
          <w:rtl/>
        </w:rPr>
        <w:t>مراجعة الأدوية ذات المجال العلاجي الضيق أو المعتمدة على التصفية مع الصيدلي.</w:t>
      </w:r>
    </w:p>
    <w:p w14:paraId="506589E6" w14:textId="77777777" w:rsidR="009E31D7" w:rsidRDefault="00000000" w:rsidP="003600A9">
      <w:pPr>
        <w:pStyle w:val="Aufzhlungszeichen"/>
        <w:bidi/>
        <w:spacing w:after="60"/>
      </w:pPr>
      <w:r>
        <w:rPr>
          <w:color w:val="263746"/>
          <w:rtl/>
        </w:rPr>
        <w:t>تنسيق خطة التغذية والحركة مع الاختصاصات المعنية.</w:t>
      </w:r>
    </w:p>
    <w:p w14:paraId="62680A7A" w14:textId="77777777" w:rsidR="009E31D7" w:rsidRDefault="00000000" w:rsidP="003600A9">
      <w:pPr>
        <w:pStyle w:val="Aufzhlungszeichen"/>
        <w:bidi/>
        <w:spacing w:after="60"/>
      </w:pPr>
      <w:r>
        <w:rPr>
          <w:color w:val="263746"/>
          <w:rtl/>
        </w:rPr>
        <w:t>استخدام مؤشرات الجودة لمراجعة العملية، مع تقييم نتائج المريض بصورة منفصلة.</w:t>
      </w:r>
    </w:p>
    <w:p w14:paraId="4C66E6ED" w14:textId="77777777" w:rsidR="009E31D7" w:rsidRDefault="00000000" w:rsidP="003600A9">
      <w:pPr>
        <w:pStyle w:val="berschrift1"/>
        <w:bidi/>
        <w:spacing w:after="160" w:line="283" w:lineRule="auto"/>
      </w:pPr>
      <w:r>
        <w:rPr>
          <w:rFonts w:ascii="Arial" w:hAnsi="Arial" w:cs="Arial"/>
          <w:rtl/>
        </w:rPr>
        <w:t>المراجع</w:t>
      </w:r>
    </w:p>
    <w:p w14:paraId="22B5EE90" w14:textId="77777777" w:rsidR="009E31D7" w:rsidRDefault="00000000" w:rsidP="003600A9">
      <w:pPr>
        <w:bidi/>
        <w:spacing w:after="60" w:line="252" w:lineRule="auto"/>
      </w:pPr>
      <w:r>
        <w:rPr>
          <w:color w:val="263746"/>
          <w:sz w:val="18"/>
        </w:rPr>
        <w:t>[1] Sabatino A, et al. ESPEN practical guideline on clinical nutrition in hospitalized patients with acute or chronic kidney disease. Clin Nutr. 2024;43:2238–2254. doi:10.1016/j.clnu.2024.08.002.</w:t>
      </w:r>
    </w:p>
    <w:p w14:paraId="388DC355" w14:textId="77777777" w:rsidR="009E31D7" w:rsidRDefault="00000000" w:rsidP="003600A9">
      <w:pPr>
        <w:bidi/>
        <w:spacing w:after="60" w:line="252" w:lineRule="auto"/>
      </w:pPr>
      <w:r>
        <w:rPr>
          <w:color w:val="263746"/>
          <w:sz w:val="18"/>
        </w:rPr>
        <w:t>[2] Tandukar S, Palevsky PM. Continuous Renal Replacement Therapy: Who, When, Why, and How. Chest. 2019;155:626–638. doi:10.1016/j.chest.2018.09.004.</w:t>
      </w:r>
    </w:p>
    <w:p w14:paraId="318B767C" w14:textId="77777777" w:rsidR="009E31D7" w:rsidRDefault="00000000" w:rsidP="003600A9">
      <w:pPr>
        <w:bidi/>
        <w:spacing w:after="60" w:line="252" w:lineRule="auto"/>
      </w:pPr>
      <w:r>
        <w:rPr>
          <w:color w:val="263746"/>
          <w:sz w:val="18"/>
        </w:rPr>
        <w:t>[3] KDIGO. Clinical Practice Guideline for Acute Kidney Injury. Kidney Int Suppl. 2012;2:1–138.</w:t>
      </w:r>
    </w:p>
    <w:sectPr w:rsidR="009E31D7" w:rsidSect="00034616">
      <w:pgSz w:w="12240" w:h="15840"/>
      <w:pgMar w:top="936" w:right="1080" w:bottom="936"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723138150">
    <w:abstractNumId w:val="8"/>
  </w:num>
  <w:num w:numId="2" w16cid:durableId="498811053">
    <w:abstractNumId w:val="6"/>
  </w:num>
  <w:num w:numId="3" w16cid:durableId="534318063">
    <w:abstractNumId w:val="5"/>
  </w:num>
  <w:num w:numId="4" w16cid:durableId="1371034489">
    <w:abstractNumId w:val="4"/>
  </w:num>
  <w:num w:numId="5" w16cid:durableId="1266032753">
    <w:abstractNumId w:val="7"/>
  </w:num>
  <w:num w:numId="6" w16cid:durableId="1115556758">
    <w:abstractNumId w:val="3"/>
  </w:num>
  <w:num w:numId="7" w16cid:durableId="1933315770">
    <w:abstractNumId w:val="2"/>
  </w:num>
  <w:num w:numId="8" w16cid:durableId="1594167655">
    <w:abstractNumId w:val="1"/>
  </w:num>
  <w:num w:numId="9" w16cid:durableId="237792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600A9"/>
    <w:rsid w:val="005225D6"/>
    <w:rsid w:val="009E31D7"/>
    <w:rsid w:val="00AA1D8D"/>
    <w:rsid w:val="00B47730"/>
    <w:rsid w:val="00CB0664"/>
    <w:rsid w:val="00DD0B26"/>
    <w:rsid w:val="00F700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A114A"/>
  <w14:defaultImageDpi w14:val="300"/>
  <w15:docId w15:val="{0FDFE369-62FC-4CBB-9A6C-9AAC0C58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cs="Arial"/>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17324D"/>
      <w:sz w:val="30"/>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149A91"/>
      <w:sz w:val="24"/>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950</Words>
  <Characters>5986</Characters>
  <Application>Microsoft Office Word</Application>
  <DocSecurity>0</DocSecurity>
  <Lines>49</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6923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Mahmoud Alhariri</cp:lastModifiedBy>
  <cp:revision>2</cp:revision>
  <dcterms:created xsi:type="dcterms:W3CDTF">2013-12-23T23:15:00Z</dcterms:created>
  <dcterms:modified xsi:type="dcterms:W3CDTF">2026-10-03T14:06:00Z</dcterms:modified>
  <cp:category/>
</cp:coreProperties>
</file>