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FC846" w14:textId="77777777" w:rsidR="00503EF5" w:rsidRPr="00CB685C" w:rsidRDefault="00503EF5" w:rsidP="00CB685C">
      <w:pPr>
        <w:bidi/>
        <w:spacing w:after="0" w:line="276" w:lineRule="auto"/>
        <w:jc w:val="mediumKashida"/>
        <w:rPr>
          <w:rFonts w:ascii="+AB Nawwar" w:hAnsi="+AB Nawwar" w:cs="+AB Nawwar"/>
          <w:b/>
          <w:bCs/>
          <w:color w:val="4C94D8" w:themeColor="text2" w:themeTint="80"/>
          <w:sz w:val="28"/>
          <w:szCs w:val="28"/>
        </w:rPr>
      </w:pPr>
      <w:r w:rsidRPr="00CB685C">
        <w:rPr>
          <w:rFonts w:ascii="+AB Nawwar" w:hAnsi="+AB Nawwar" w:cs="+AB Nawwar"/>
          <w:b/>
          <w:bCs/>
          <w:color w:val="4C94D8" w:themeColor="text2" w:themeTint="80"/>
          <w:sz w:val="28"/>
          <w:szCs w:val="28"/>
          <w:rtl/>
        </w:rPr>
        <w:t xml:space="preserve">حالات الطوارئ في ارتفاع ضغط الدم </w:t>
      </w:r>
      <w:r w:rsidRPr="00CB685C">
        <w:rPr>
          <w:rFonts w:ascii="+AB Nawwar" w:hAnsi="+AB Nawwar" w:cs="+AB Nawwar"/>
          <w:b/>
          <w:bCs/>
          <w:color w:val="4C94D8" w:themeColor="text2" w:themeTint="80"/>
          <w:sz w:val="28"/>
          <w:szCs w:val="28"/>
        </w:rPr>
        <w:t xml:space="preserve">hypertensive </w:t>
      </w:r>
      <w:proofErr w:type="spellStart"/>
      <w:r w:rsidRPr="00CB685C">
        <w:rPr>
          <w:rFonts w:ascii="+AB Nawwar" w:hAnsi="+AB Nawwar" w:cs="+AB Nawwar"/>
          <w:b/>
          <w:bCs/>
          <w:color w:val="4C94D8" w:themeColor="text2" w:themeTint="80"/>
          <w:sz w:val="28"/>
          <w:szCs w:val="28"/>
        </w:rPr>
        <w:t>urgencies</w:t>
      </w:r>
      <w:proofErr w:type="spellEnd"/>
      <w:r w:rsidRPr="00CB685C">
        <w:rPr>
          <w:rFonts w:ascii="+AB Nawwar" w:hAnsi="+AB Nawwar" w:cs="+AB Nawwar"/>
          <w:b/>
          <w:bCs/>
          <w:color w:val="4C94D8" w:themeColor="text2" w:themeTint="80"/>
          <w:sz w:val="28"/>
          <w:szCs w:val="28"/>
        </w:rPr>
        <w:t xml:space="preserve"> and </w:t>
      </w:r>
      <w:proofErr w:type="spellStart"/>
      <w:r w:rsidRPr="00CB685C">
        <w:rPr>
          <w:rFonts w:ascii="+AB Nawwar" w:hAnsi="+AB Nawwar" w:cs="+AB Nawwar"/>
          <w:b/>
          <w:bCs/>
          <w:color w:val="4C94D8" w:themeColor="text2" w:themeTint="80"/>
          <w:sz w:val="28"/>
          <w:szCs w:val="28"/>
        </w:rPr>
        <w:t>emergencies</w:t>
      </w:r>
      <w:proofErr w:type="spellEnd"/>
    </w:p>
    <w:p w14:paraId="19531873" w14:textId="77777777" w:rsidR="00503EF5" w:rsidRPr="00C66C52" w:rsidRDefault="00503EF5" w:rsidP="00CB685C">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يواجه التدبير السليم للمرضى الذين يأتون إلى قسم الطوارئ بسبب ارتفاع ضغط الدم عدداً من الصعوبات. التحدي الرئيسي الذي يواجه الطبيب هو تحديد وتمييز المرضى المعرضين لخطر الإصابة بأمراض القلب والأوعية الدموية أو الكلوية عن أولئك الذين لا يحمل ارتفاع ضغط الدم لديهم أي خطر مباشر على الصحة. في حين أن المرضى السابقين يحتاجون إلى عناية وعلاج فوريين، فإن الأخيرين لا يحتاجون إلى دخول المستشفى أو حتى العلاج. كذلك لا تزال حالة المتابعة وعلاج المرضى بعد الخروج من قسم الطوارئ غير محددة بشكل جيد وغالباً ما تكون غير كافية</w:t>
      </w:r>
    </w:p>
    <w:p w14:paraId="23DDA05D" w14:textId="77777777" w:rsidR="00503EF5" w:rsidRPr="00C66C52" w:rsidRDefault="00503EF5" w:rsidP="00CB685C">
      <w:pPr>
        <w:bidi/>
        <w:spacing w:after="0" w:line="276" w:lineRule="auto"/>
        <w:jc w:val="mediumKashida"/>
        <w:rPr>
          <w:rFonts w:ascii="+AB Nawwar" w:hAnsi="+AB Nawwar" w:cs="+AB Nawwar"/>
          <w:sz w:val="28"/>
          <w:szCs w:val="28"/>
          <w:rtl/>
        </w:rPr>
      </w:pPr>
    </w:p>
    <w:p w14:paraId="085DC630" w14:textId="77777777" w:rsidR="00503EF5" w:rsidRPr="00C66C52" w:rsidRDefault="00503EF5" w:rsidP="00CB685C">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تعريفات حالات الطوارئ وحالات ارتفاع ضغط الدم الطارئة</w:t>
      </w:r>
    </w:p>
    <w:p w14:paraId="1088CDF9"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حالات ارتفاع ضغط الدم الطارئة </w:t>
      </w:r>
      <w:proofErr w:type="spellStart"/>
      <w:r w:rsidRPr="00C66C52">
        <w:rPr>
          <w:rFonts w:ascii="+AB Nawwar" w:hAnsi="+AB Nawwar" w:cs="+AB Nawwar"/>
          <w:sz w:val="28"/>
          <w:szCs w:val="28"/>
        </w:rPr>
        <w:t>emergencies</w:t>
      </w:r>
      <w:proofErr w:type="spellEnd"/>
      <w:r w:rsidRPr="00C66C52">
        <w:rPr>
          <w:rFonts w:ascii="+AB Nawwar" w:hAnsi="+AB Nawwar" w:cs="+AB Nawwar"/>
          <w:sz w:val="28"/>
          <w:szCs w:val="28"/>
          <w:rtl/>
        </w:rPr>
        <w:t xml:space="preserve"> هي الحالات التي يرتبط فيها ارتفاع ضغط الدم الشديد (الدرجة 3) بأعراض </w:t>
      </w:r>
      <w:r w:rsidRPr="00C66C52">
        <w:rPr>
          <w:rFonts w:ascii="+AB Nawwar" w:hAnsi="+AB Nawwar" w:cs="+AB Nawwar"/>
          <w:sz w:val="28"/>
          <w:szCs w:val="28"/>
        </w:rPr>
        <w:t>HMOD</w:t>
      </w:r>
      <w:r w:rsidRPr="00C66C52">
        <w:rPr>
          <w:rFonts w:ascii="+AB Nawwar" w:hAnsi="+AB Nawwar" w:cs="+AB Nawwar"/>
          <w:sz w:val="28"/>
          <w:szCs w:val="28"/>
          <w:rtl/>
        </w:rPr>
        <w:t xml:space="preserve"> الحادة. يمكن أن تكون حالات ارتفاع ضغط الدم الطارئة مهددة للحياة وتتطلب تدخلاً فورياً لخفض ضغط الدم، عادةً عن طريق العلاج الوريدي. قد يكون معدل الزيادة في ضغط الدم على الأقل بنفس أهمية مستوى ضغط الدم المطلق في تحديد الخطورة السريرية للحالة وحجم إصابة الأعضاء.</w:t>
      </w:r>
    </w:p>
    <w:p w14:paraId="6B527536" w14:textId="77777777" w:rsidR="00503EF5" w:rsidRPr="00C66C52" w:rsidRDefault="00503EF5" w:rsidP="00CB685C">
      <w:pPr>
        <w:bidi/>
        <w:spacing w:after="0" w:line="276" w:lineRule="auto"/>
        <w:jc w:val="mediumKashida"/>
        <w:rPr>
          <w:rFonts w:ascii="+AB Nawwar" w:hAnsi="+AB Nawwar" w:cs="+AB Nawwar"/>
          <w:sz w:val="28"/>
          <w:szCs w:val="28"/>
        </w:rPr>
      </w:pPr>
    </w:p>
    <w:p w14:paraId="55679BD1" w14:textId="77777777" w:rsidR="00503EF5" w:rsidRPr="00C66C52" w:rsidRDefault="00503EF5" w:rsidP="00CB685C">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المظاهر السريرية النموذجية لحالات ارتفاع ضغط الدم الطارئة هي:</w:t>
      </w:r>
    </w:p>
    <w:p w14:paraId="02D17CDE"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1. ارتفاع ضغط الدم الشديد المرتبط بحالات تحتاج إلى علاج مكثف لضغط الدم: السكتة الدماغية الحادة (النزفية أو الإقفارية/الانصمام الخثاري)، و أم دم أبهرية </w:t>
      </w:r>
      <w:proofErr w:type="spellStart"/>
      <w:r w:rsidRPr="00C66C52">
        <w:rPr>
          <w:rFonts w:ascii="+AB Nawwar" w:hAnsi="+AB Nawwar" w:cs="+AB Nawwar"/>
          <w:sz w:val="28"/>
          <w:szCs w:val="28"/>
        </w:rPr>
        <w:t>aortic</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aneurysm</w:t>
      </w:r>
      <w:proofErr w:type="spellEnd"/>
      <w:r w:rsidRPr="00C66C52">
        <w:rPr>
          <w:rFonts w:ascii="+AB Nawwar" w:hAnsi="+AB Nawwar" w:cs="+AB Nawwar"/>
          <w:sz w:val="28"/>
          <w:szCs w:val="28"/>
          <w:rtl/>
        </w:rPr>
        <w:t xml:space="preserve"> أو تسلخه</w:t>
      </w:r>
      <w:proofErr w:type="spellStart"/>
      <w:r w:rsidRPr="00C66C52">
        <w:rPr>
          <w:rFonts w:ascii="+AB Nawwar" w:hAnsi="+AB Nawwar" w:cs="+AB Nawwar"/>
          <w:sz w:val="28"/>
          <w:szCs w:val="28"/>
        </w:rPr>
        <w:t>dissection</w:t>
      </w:r>
      <w:proofErr w:type="spellEnd"/>
      <w:r w:rsidRPr="00C66C52">
        <w:rPr>
          <w:rFonts w:ascii="+AB Nawwar" w:hAnsi="+AB Nawwar" w:cs="+AB Nawwar"/>
          <w:sz w:val="28"/>
          <w:szCs w:val="28"/>
        </w:rPr>
        <w:t xml:space="preserve"> </w:t>
      </w:r>
      <w:r w:rsidRPr="00C66C52">
        <w:rPr>
          <w:rFonts w:ascii="+AB Nawwar" w:hAnsi="+AB Nawwar" w:cs="+AB Nawwar"/>
          <w:sz w:val="28"/>
          <w:szCs w:val="28"/>
          <w:rtl/>
        </w:rPr>
        <w:t>، و قصور القلب الحاد، و المتلازمة الخناقية الحادة، والقصور الكلوي.</w:t>
      </w:r>
    </w:p>
    <w:p w14:paraId="39AFFF41"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تتوافق هذه الظروف الطارئة أيضاً مع زيادة متواضعة نسبياً في ضغط الدم، وهي كافية للتعجيل بفشل الأعضاء.</w:t>
      </w:r>
    </w:p>
    <w:p w14:paraId="2FE039B5"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2. ارتفاع ضغط الدم الناجم عن ورم القواتم </w:t>
      </w:r>
      <w:proofErr w:type="spellStart"/>
      <w:r w:rsidRPr="00C66C52">
        <w:rPr>
          <w:rFonts w:ascii="+AB Nawwar" w:hAnsi="+AB Nawwar" w:cs="+AB Nawwar"/>
          <w:sz w:val="28"/>
          <w:szCs w:val="28"/>
        </w:rPr>
        <w:t>Pheochromocytoma</w:t>
      </w:r>
      <w:proofErr w:type="spellEnd"/>
      <w:r w:rsidRPr="00C66C52">
        <w:rPr>
          <w:rFonts w:ascii="+AB Nawwar" w:hAnsi="+AB Nawwar" w:cs="+AB Nawwar"/>
          <w:sz w:val="28"/>
          <w:szCs w:val="28"/>
          <w:rtl/>
        </w:rPr>
        <w:t xml:space="preserve"> أو المواد الخارجية المحاكية للودي </w:t>
      </w:r>
      <w:proofErr w:type="spellStart"/>
      <w:r w:rsidRPr="00C66C52">
        <w:rPr>
          <w:rFonts w:ascii="+AB Nawwar" w:hAnsi="+AB Nawwar" w:cs="+AB Nawwar"/>
          <w:sz w:val="28"/>
          <w:szCs w:val="28"/>
        </w:rPr>
        <w:t>sympathomimetic</w:t>
      </w:r>
      <w:proofErr w:type="spellEnd"/>
      <w:r w:rsidRPr="00C66C52">
        <w:rPr>
          <w:rFonts w:ascii="+AB Nawwar" w:hAnsi="+AB Nawwar" w:cs="+AB Nawwar"/>
          <w:sz w:val="28"/>
          <w:szCs w:val="28"/>
          <w:rtl/>
        </w:rPr>
        <w:t xml:space="preserve"> (مثل تعاطي المخدرات).</w:t>
      </w:r>
    </w:p>
    <w:p w14:paraId="48129E1C"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قد يؤدي تناول الأدوية المحاكية للودي مثل ميتا الأمفيتامين</w:t>
      </w:r>
      <w:r w:rsidRPr="00C66C52">
        <w:rPr>
          <w:rFonts w:ascii="+AB Nawwar" w:hAnsi="+AB Nawwar" w:cs="+AB Nawwar"/>
          <w:sz w:val="28"/>
          <w:szCs w:val="28"/>
        </w:rPr>
        <w:t xml:space="preserve">meta-amphetamine </w:t>
      </w:r>
      <w:r w:rsidRPr="00C66C52">
        <w:rPr>
          <w:rFonts w:ascii="+AB Nawwar" w:hAnsi="+AB Nawwar" w:cs="+AB Nawwar"/>
          <w:sz w:val="28"/>
          <w:szCs w:val="28"/>
          <w:rtl/>
        </w:rPr>
        <w:t xml:space="preserve"> أو الكوكايين إلى حدوث زيادات حادة وشديدة في ضغط الدم والتي قد تؤدي إلى حالات ارتفاع ضغط الدم طارئة عندما يكون هناك دليل على وجود </w:t>
      </w:r>
      <w:r w:rsidRPr="00C66C52">
        <w:rPr>
          <w:rFonts w:ascii="+AB Nawwar" w:hAnsi="+AB Nawwar" w:cs="+AB Nawwar"/>
          <w:sz w:val="28"/>
          <w:szCs w:val="28"/>
        </w:rPr>
        <w:t>HMOD</w:t>
      </w:r>
      <w:r w:rsidRPr="00C66C52">
        <w:rPr>
          <w:rFonts w:ascii="+AB Nawwar" w:hAnsi="+AB Nawwar" w:cs="+AB Nawwar"/>
          <w:sz w:val="28"/>
          <w:szCs w:val="28"/>
          <w:rtl/>
        </w:rPr>
        <w:t xml:space="preserve"> حاد.</w:t>
      </w:r>
    </w:p>
    <w:p w14:paraId="0D486B58"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3. الأشكال الشديدة من </w:t>
      </w:r>
      <w:r w:rsidRPr="00C66C52">
        <w:rPr>
          <w:rFonts w:ascii="+AB Nawwar" w:hAnsi="+AB Nawwar" w:cs="+AB Nawwar"/>
          <w:sz w:val="28"/>
          <w:szCs w:val="28"/>
        </w:rPr>
        <w:t>HDP</w:t>
      </w:r>
      <w:r w:rsidRPr="00C66C52">
        <w:rPr>
          <w:rFonts w:ascii="+AB Nawwar" w:hAnsi="+AB Nawwar" w:cs="+AB Nawwar"/>
          <w:sz w:val="28"/>
          <w:szCs w:val="28"/>
          <w:rtl/>
        </w:rPr>
        <w:t xml:space="preserve">، بما في ذلك </w:t>
      </w:r>
      <w:proofErr w:type="spellStart"/>
      <w:r w:rsidRPr="00C66C52">
        <w:rPr>
          <w:rFonts w:ascii="+AB Nawwar" w:hAnsi="+AB Nawwar" w:cs="+AB Nawwar"/>
          <w:sz w:val="28"/>
          <w:szCs w:val="28"/>
        </w:rPr>
        <w:t>preeclampsia</w:t>
      </w:r>
      <w:proofErr w:type="spellEnd"/>
      <w:r w:rsidRPr="00C66C52">
        <w:rPr>
          <w:rFonts w:ascii="+AB Nawwar" w:hAnsi="+AB Nawwar" w:cs="+AB Nawwar"/>
          <w:sz w:val="28"/>
          <w:szCs w:val="28"/>
        </w:rPr>
        <w:t>/</w:t>
      </w:r>
      <w:proofErr w:type="spellStart"/>
      <w:r w:rsidRPr="00C66C52">
        <w:rPr>
          <w:rFonts w:ascii="+AB Nawwar" w:hAnsi="+AB Nawwar" w:cs="+AB Nawwar"/>
          <w:sz w:val="28"/>
          <w:szCs w:val="28"/>
        </w:rPr>
        <w:t>eclampsia</w:t>
      </w:r>
      <w:proofErr w:type="spellEnd"/>
      <w:r w:rsidRPr="00C66C52">
        <w:rPr>
          <w:rFonts w:ascii="+AB Nawwar" w:hAnsi="+AB Nawwar" w:cs="+AB Nawwar"/>
          <w:sz w:val="28"/>
          <w:szCs w:val="28"/>
          <w:rtl/>
        </w:rPr>
        <w:t xml:space="preserve"> مع متلازمة </w:t>
      </w:r>
      <w:r w:rsidRPr="00C66C52">
        <w:rPr>
          <w:rFonts w:ascii="+AB Nawwar" w:hAnsi="+AB Nawwar" w:cs="+AB Nawwar"/>
          <w:sz w:val="28"/>
          <w:szCs w:val="28"/>
        </w:rPr>
        <w:t>HELLP</w:t>
      </w:r>
      <w:r w:rsidRPr="00C66C52">
        <w:rPr>
          <w:rFonts w:ascii="+AB Nawwar" w:hAnsi="+AB Nawwar" w:cs="+AB Nawwar"/>
          <w:sz w:val="28"/>
          <w:szCs w:val="28"/>
          <w:rtl/>
        </w:rPr>
        <w:t>.</w:t>
      </w:r>
    </w:p>
    <w:p w14:paraId="2E4ADA46" w14:textId="77777777" w:rsidR="00503EF5" w:rsidRPr="00C66C52" w:rsidRDefault="00503EF5" w:rsidP="00CB685C">
      <w:pPr>
        <w:bidi/>
        <w:spacing w:after="0" w:line="276" w:lineRule="auto"/>
        <w:jc w:val="mediumKashida"/>
        <w:rPr>
          <w:rFonts w:ascii="+AB Nawwar" w:hAnsi="+AB Nawwar" w:cs="+AB Nawwar"/>
          <w:sz w:val="28"/>
          <w:szCs w:val="28"/>
        </w:rPr>
      </w:pPr>
    </w:p>
    <w:p w14:paraId="08A477F7"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ارتفاع ضغط الدم الخبيث مع أو بدون اعتلال الأوعية الدقيقة الخثاري</w:t>
      </w:r>
      <w:r w:rsidRPr="00C66C52">
        <w:rPr>
          <w:rFonts w:ascii="+AB Nawwar" w:hAnsi="+AB Nawwar" w:cs="+AB Nawwar"/>
          <w:sz w:val="28"/>
          <w:szCs w:val="28"/>
        </w:rPr>
        <w:t xml:space="preserve">TMA </w:t>
      </w:r>
      <w:r w:rsidRPr="00C66C52">
        <w:rPr>
          <w:rFonts w:ascii="+AB Nawwar" w:hAnsi="+AB Nawwar" w:cs="+AB Nawwar"/>
          <w:sz w:val="28"/>
          <w:szCs w:val="28"/>
          <w:rtl/>
        </w:rPr>
        <w:t xml:space="preserve"> أو الفشل الكلوي الحاد هو حالة طوارئ لارتفاع ضغط الدم تتميز بنخر فيبريني في الشرايين الصغيرة </w:t>
      </w:r>
      <w:proofErr w:type="spellStart"/>
      <w:r w:rsidRPr="00C66C52">
        <w:rPr>
          <w:rFonts w:ascii="+AB Nawwar" w:hAnsi="+AB Nawwar" w:cs="+AB Nawwar"/>
          <w:sz w:val="28"/>
          <w:szCs w:val="28"/>
        </w:rPr>
        <w:t>fibrinoid</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necrosis</w:t>
      </w:r>
      <w:proofErr w:type="spellEnd"/>
      <w:r w:rsidRPr="00C66C52">
        <w:rPr>
          <w:rFonts w:ascii="+AB Nawwar" w:hAnsi="+AB Nawwar" w:cs="+AB Nawwar"/>
          <w:sz w:val="28"/>
          <w:szCs w:val="28"/>
        </w:rPr>
        <w:t xml:space="preserve"> </w:t>
      </w:r>
      <w:r w:rsidRPr="00C66C52">
        <w:rPr>
          <w:rFonts w:ascii="+AB Nawwar" w:hAnsi="+AB Nawwar" w:cs="+AB Nawwar"/>
          <w:sz w:val="28"/>
          <w:szCs w:val="28"/>
          <w:rtl/>
        </w:rPr>
        <w:t xml:space="preserve"> في الكلى والشبكية والدماغ. قد تكون هناك أيضاً تغيرات في تنظير قاع العين (نزيف لهبي </w:t>
      </w:r>
      <w:proofErr w:type="spellStart"/>
      <w:r w:rsidRPr="00C66C52">
        <w:rPr>
          <w:rFonts w:ascii="+AB Nawwar" w:hAnsi="+AB Nawwar" w:cs="+AB Nawwar"/>
          <w:sz w:val="28"/>
          <w:szCs w:val="28"/>
        </w:rPr>
        <w:t>flame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hemorrhage</w:t>
      </w:r>
      <w:proofErr w:type="spellEnd"/>
      <w:r w:rsidRPr="00C66C52">
        <w:rPr>
          <w:rFonts w:ascii="+AB Nawwar" w:hAnsi="+AB Nawwar" w:cs="+AB Nawwar"/>
          <w:sz w:val="28"/>
          <w:szCs w:val="28"/>
          <w:rtl/>
        </w:rPr>
        <w:t xml:space="preserve"> وذمة حليمة العصب البصري </w:t>
      </w:r>
      <w:proofErr w:type="spellStart"/>
      <w:r w:rsidRPr="00C66C52">
        <w:rPr>
          <w:rFonts w:ascii="+AB Nawwar" w:hAnsi="+AB Nawwar" w:cs="+AB Nawwar"/>
          <w:sz w:val="28"/>
          <w:szCs w:val="28"/>
        </w:rPr>
        <w:t>papilledema</w:t>
      </w:r>
      <w:proofErr w:type="spellEnd"/>
      <w:r w:rsidRPr="00C66C52">
        <w:rPr>
          <w:rFonts w:ascii="+AB Nawwar" w:hAnsi="+AB Nawwar" w:cs="+AB Nawwar"/>
          <w:sz w:val="28"/>
          <w:szCs w:val="28"/>
          <w:rtl/>
        </w:rPr>
        <w:t>)، أو اعتلال الأوعية الدقيقة، أو تخثر منتشر داخل الأوعية</w:t>
      </w:r>
      <w:r w:rsidRPr="00C66C52">
        <w:rPr>
          <w:rFonts w:ascii="+AB Nawwar" w:hAnsi="+AB Nawwar" w:cs="+AB Nawwar"/>
          <w:sz w:val="28"/>
          <w:szCs w:val="28"/>
        </w:rPr>
        <w:t xml:space="preserve">DIC </w:t>
      </w:r>
      <w:r w:rsidRPr="00C66C52">
        <w:rPr>
          <w:rFonts w:ascii="+AB Nawwar" w:hAnsi="+AB Nawwar" w:cs="+AB Nawwar"/>
          <w:sz w:val="28"/>
          <w:szCs w:val="28"/>
          <w:rtl/>
        </w:rPr>
        <w:t>، أو اعتلال دماغي (15% من الحالات) أو قصور القلب الحاد. ما إذا كان هذا التعريف التقليدي يتوافق تماماً مع مدى تلف الأوعية الدموية الدقيقة لا يزال موضع نقاش.</w:t>
      </w:r>
    </w:p>
    <w:p w14:paraId="289AEB9D"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يعكس مصطلح "خبيث" التشخيص السيئ للغاية لهذه الحالة إذا لم يتم علاجها. أظهرت سجلات ارتفاع ضغط الدم الخبيث في برمنغهام وبوردو وأمستردام أن ارتفاع ضغط الدم الخبيث آخذ في الارتفاع في أوروبا. تعتمد الأعراض الطارئة على الأعضاء المصابة وقد تشمل:</w:t>
      </w:r>
    </w:p>
    <w:p w14:paraId="5A4DB84E"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الصداع، واضطرابات بصرية، والدوخة وغيرها من العجز العصبي وكذلك آلام في الصدر وضيق التنفس. في المرضى الذين يعانون من اعتلال الدماغ الناتج عن ارتفاع ضغط الدم، فإن وجود النعاس والخمول و الاختلاجات </w:t>
      </w:r>
      <w:proofErr w:type="spellStart"/>
      <w:r w:rsidRPr="00C66C52">
        <w:rPr>
          <w:rFonts w:ascii="+AB Nawwar" w:hAnsi="+AB Nawwar" w:cs="+AB Nawwar"/>
          <w:sz w:val="28"/>
          <w:szCs w:val="28"/>
        </w:rPr>
        <w:t>tonic</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clonic</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seizures</w:t>
      </w:r>
      <w:proofErr w:type="spellEnd"/>
      <w:r w:rsidRPr="00C66C52">
        <w:rPr>
          <w:rFonts w:ascii="+AB Nawwar" w:hAnsi="+AB Nawwar" w:cs="+AB Nawwar"/>
          <w:sz w:val="28"/>
          <w:szCs w:val="28"/>
          <w:rtl/>
        </w:rPr>
        <w:t xml:space="preserve"> والعمى القشري </w:t>
      </w:r>
      <w:proofErr w:type="spellStart"/>
      <w:r w:rsidRPr="00C66C52">
        <w:rPr>
          <w:rFonts w:ascii="+AB Nawwar" w:hAnsi="+AB Nawwar" w:cs="+AB Nawwar"/>
          <w:sz w:val="28"/>
          <w:szCs w:val="28"/>
        </w:rPr>
        <w:t>cortical</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blindness</w:t>
      </w:r>
      <w:proofErr w:type="spellEnd"/>
      <w:r w:rsidRPr="00C66C52">
        <w:rPr>
          <w:rFonts w:ascii="+AB Nawwar" w:hAnsi="+AB Nawwar" w:cs="+AB Nawwar"/>
          <w:sz w:val="28"/>
          <w:szCs w:val="28"/>
          <w:rtl/>
        </w:rPr>
        <w:t xml:space="preserve"> قد يسبق فقدان الوعي. الآفات العصبية البؤرية نادرة ويجب أن تثير الشك في الإصابة بسكتة دماغية حادة.</w:t>
      </w:r>
    </w:p>
    <w:p w14:paraId="72A4731B"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ترتبط السكتة الدماغية الحادة، وخاصة النزف داخل المخ، بارتفاع ضغط الدم الشديد وغالباً ما يتم تضمينها ضمن حالات الطوارئ الخاصة بارتفاع ضغط الدم. ومع ذلك، فهي حالة طارئة تتطلب استراتيجيات محددة للتحكم في خفض ضغط الدم، بسبب التأثيرات المعقدة التي يمكن أن يحدثها حجمها وسرعتها وعلاقتها بمستوى ضغط الدم الحالي على منطقة الدماغ الإقفارية المحيطة بآفة الدماغ الأساسية. يجب التعامل مع هذه الحالة من خلال وحدات متخصصة (</w:t>
      </w:r>
      <w:proofErr w:type="spellStart"/>
      <w:r w:rsidRPr="00C66C52">
        <w:rPr>
          <w:rFonts w:ascii="+AB Nawwar" w:hAnsi="+AB Nawwar" w:cs="+AB Nawwar"/>
          <w:sz w:val="28"/>
          <w:szCs w:val="28"/>
        </w:rPr>
        <w:t>stroke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unit</w:t>
      </w:r>
      <w:proofErr w:type="spellEnd"/>
      <w:r w:rsidRPr="00C66C52">
        <w:rPr>
          <w:rFonts w:ascii="+AB Nawwar" w:hAnsi="+AB Nawwar" w:cs="+AB Nawwar"/>
          <w:sz w:val="28"/>
          <w:szCs w:val="28"/>
          <w:rtl/>
        </w:rPr>
        <w:t>).</w:t>
      </w:r>
    </w:p>
    <w:p w14:paraId="29E0CCCB"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تم استخدام مصطلح "</w:t>
      </w:r>
      <w:r w:rsidRPr="00C66C52">
        <w:rPr>
          <w:rFonts w:ascii="+AB Nawwar" w:hAnsi="+AB Nawwar" w:cs="+AB Nawwar"/>
          <w:sz w:val="28"/>
          <w:szCs w:val="28"/>
        </w:rPr>
        <w:t xml:space="preserve">hypertensive </w:t>
      </w:r>
      <w:proofErr w:type="spellStart"/>
      <w:r w:rsidRPr="00C66C52">
        <w:rPr>
          <w:rFonts w:ascii="+AB Nawwar" w:hAnsi="+AB Nawwar" w:cs="+AB Nawwar"/>
          <w:sz w:val="28"/>
          <w:szCs w:val="28"/>
        </w:rPr>
        <w:t>urgency</w:t>
      </w:r>
      <w:proofErr w:type="spellEnd"/>
      <w:r w:rsidRPr="00C66C52">
        <w:rPr>
          <w:rFonts w:ascii="+AB Nawwar" w:hAnsi="+AB Nawwar" w:cs="+AB Nawwar"/>
          <w:sz w:val="28"/>
          <w:szCs w:val="28"/>
          <w:rtl/>
        </w:rPr>
        <w:t xml:space="preserve">" لوصف ارتفاع ضغط الدم الشديد لدى المرضى الذين لا يوجد دليل على إصابتهم بـ </w:t>
      </w:r>
      <w:r w:rsidRPr="00C66C52">
        <w:rPr>
          <w:rFonts w:ascii="+AB Nawwar" w:hAnsi="+AB Nawwar" w:cs="+AB Nawwar"/>
          <w:sz w:val="28"/>
          <w:szCs w:val="28"/>
        </w:rPr>
        <w:t>HMOD</w:t>
      </w:r>
      <w:r w:rsidRPr="00C66C52">
        <w:rPr>
          <w:rFonts w:ascii="+AB Nawwar" w:hAnsi="+AB Nawwar" w:cs="+AB Nawwar"/>
          <w:sz w:val="28"/>
          <w:szCs w:val="28"/>
          <w:rtl/>
        </w:rPr>
        <w:t xml:space="preserve"> حاد. لم يتم تعريف حالات ارتفاع ضغط الدم هذا بشكل جيد بشكل رئيسي بسبب المعايير المختلفة المستخدمة لتعريف هذه الحالة. علاوة على ذلك، فإن غموض مصطلح "</w:t>
      </w:r>
      <w:r w:rsidRPr="00C66C52">
        <w:rPr>
          <w:rFonts w:ascii="+AB Nawwar" w:hAnsi="+AB Nawwar" w:cs="+AB Nawwar"/>
          <w:sz w:val="28"/>
          <w:szCs w:val="28"/>
        </w:rPr>
        <w:t xml:space="preserve">hypertensive </w:t>
      </w:r>
      <w:proofErr w:type="spellStart"/>
      <w:r w:rsidRPr="00C66C52">
        <w:rPr>
          <w:rFonts w:ascii="+AB Nawwar" w:hAnsi="+AB Nawwar" w:cs="+AB Nawwar"/>
          <w:sz w:val="28"/>
          <w:szCs w:val="28"/>
        </w:rPr>
        <w:t>urgency</w:t>
      </w:r>
      <w:proofErr w:type="spellEnd"/>
      <w:r w:rsidRPr="00C66C52">
        <w:rPr>
          <w:rFonts w:ascii="+AB Nawwar" w:hAnsi="+AB Nawwar" w:cs="+AB Nawwar"/>
          <w:sz w:val="28"/>
          <w:szCs w:val="28"/>
          <w:rtl/>
        </w:rPr>
        <w:t>" مقابل ما يسمى "أزمة ارتفاع ضغط الدم</w:t>
      </w:r>
      <w:proofErr w:type="spellStart"/>
      <w:r w:rsidRPr="00C66C52">
        <w:rPr>
          <w:rFonts w:ascii="+AB Nawwar" w:hAnsi="+AB Nawwar" w:cs="+AB Nawwar"/>
          <w:sz w:val="28"/>
          <w:szCs w:val="28"/>
        </w:rPr>
        <w:t>crisis</w:t>
      </w:r>
      <w:proofErr w:type="spellEnd"/>
      <w:r w:rsidRPr="00C66C52">
        <w:rPr>
          <w:rFonts w:ascii="+AB Nawwar" w:hAnsi="+AB Nawwar" w:cs="+AB Nawwar"/>
          <w:sz w:val="28"/>
          <w:szCs w:val="28"/>
        </w:rPr>
        <w:t xml:space="preserve"> </w:t>
      </w:r>
      <w:r w:rsidRPr="00C66C52">
        <w:rPr>
          <w:rFonts w:ascii="+AB Nawwar" w:hAnsi="+AB Nawwar" w:cs="+AB Nawwar"/>
          <w:sz w:val="28"/>
          <w:szCs w:val="28"/>
          <w:rtl/>
        </w:rPr>
        <w:t>" قد أثر على البيانات الوبائية.</w:t>
      </w:r>
    </w:p>
    <w:p w14:paraId="301D567F" w14:textId="0688E1F8"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بالنسبة للمرضى الذين يشتبه في إصابتهم بحالة ارتفاع ضغط الدم الاسعافي </w:t>
      </w:r>
      <w:proofErr w:type="spellStart"/>
      <w:r w:rsidRPr="00C66C52">
        <w:rPr>
          <w:rFonts w:ascii="+AB Nawwar" w:hAnsi="+AB Nawwar" w:cs="+AB Nawwar"/>
          <w:sz w:val="28"/>
          <w:szCs w:val="28"/>
        </w:rPr>
        <w:t>emergency</w:t>
      </w:r>
      <w:proofErr w:type="spellEnd"/>
      <w:r w:rsidRPr="00C66C52">
        <w:rPr>
          <w:rFonts w:ascii="+AB Nawwar" w:hAnsi="+AB Nawwar" w:cs="+AB Nawwar"/>
          <w:sz w:val="28"/>
          <w:szCs w:val="28"/>
          <w:rtl/>
        </w:rPr>
        <w:t xml:space="preserve">، يتم عرض المقاربة التشخيصية في الجدول </w:t>
      </w:r>
      <w:r w:rsidR="00CB685C">
        <w:rPr>
          <w:rFonts w:ascii="+AB Nawwar" w:hAnsi="+AB Nawwar" w:cs="+AB Nawwar" w:hint="cs"/>
          <w:sz w:val="28"/>
          <w:szCs w:val="28"/>
          <w:rtl/>
        </w:rPr>
        <w:t>التالي</w:t>
      </w:r>
      <w:r w:rsidRPr="00C66C52">
        <w:rPr>
          <w:rFonts w:ascii="+AB Nawwar" w:hAnsi="+AB Nawwar" w:cs="+AB Nawwar"/>
          <w:sz w:val="28"/>
          <w:szCs w:val="28"/>
          <w:rtl/>
        </w:rPr>
        <w:t>.</w:t>
      </w:r>
    </w:p>
    <w:p w14:paraId="0FF5F945" w14:textId="77777777" w:rsidR="00CB685C" w:rsidRDefault="00CB685C" w:rsidP="00CB685C">
      <w:pPr>
        <w:bidi/>
        <w:spacing w:after="0" w:line="276" w:lineRule="auto"/>
        <w:jc w:val="mediumKashida"/>
        <w:rPr>
          <w:rFonts w:ascii="+AB Nawwar" w:hAnsi="+AB Nawwar" w:cs="+AB Nawwar"/>
          <w:b/>
          <w:bCs/>
          <w:sz w:val="28"/>
          <w:szCs w:val="28"/>
          <w:rtl/>
        </w:rPr>
      </w:pPr>
    </w:p>
    <w:p w14:paraId="1959CD71" w14:textId="745585AB" w:rsidR="00CB685C" w:rsidRPr="00CB685C" w:rsidRDefault="00CB685C" w:rsidP="00CB685C">
      <w:pPr>
        <w:bidi/>
        <w:spacing w:after="0" w:line="276" w:lineRule="auto"/>
        <w:jc w:val="mediumKashida"/>
        <w:rPr>
          <w:rFonts w:ascii="+AB Nawwar" w:hAnsi="+AB Nawwar" w:cs="+AB Nawwar"/>
          <w:b/>
          <w:bCs/>
          <w:sz w:val="28"/>
          <w:szCs w:val="28"/>
        </w:rPr>
      </w:pPr>
      <w:r w:rsidRPr="00CB685C">
        <w:rPr>
          <w:rFonts w:ascii="+AB Nawwar" w:hAnsi="+AB Nawwar" w:cs="+AB Nawwar"/>
          <w:b/>
          <w:bCs/>
          <w:sz w:val="28"/>
          <w:szCs w:val="28"/>
          <w:rtl/>
        </w:rPr>
        <w:t>الاستقصاءات التشخيصية لحالات ارتفاع ضغط الدم الطارئة والعاجلة</w:t>
      </w:r>
    </w:p>
    <w:p w14:paraId="252B2412" w14:textId="77777777" w:rsidR="00CB685C" w:rsidRPr="00CB685C" w:rsidRDefault="00CB685C" w:rsidP="00CB685C">
      <w:pPr>
        <w:bidi/>
        <w:spacing w:after="0" w:line="276" w:lineRule="auto"/>
        <w:jc w:val="mediumKashida"/>
        <w:rPr>
          <w:rFonts w:ascii="+AB Nawwar" w:hAnsi="+AB Nawwar" w:cs="+AB Nawwar"/>
          <w:b/>
          <w:bCs/>
          <w:sz w:val="28"/>
          <w:szCs w:val="28"/>
        </w:rPr>
      </w:pPr>
      <w:r w:rsidRPr="00CB685C">
        <w:rPr>
          <w:rFonts w:ascii="+AB Nawwar" w:hAnsi="+AB Nawwar" w:cs="+AB Nawwar"/>
          <w:b/>
          <w:bCs/>
          <w:sz w:val="28"/>
          <w:szCs w:val="28"/>
          <w:rtl/>
        </w:rPr>
        <w:t>الفحوص الشائعة</w:t>
      </w:r>
    </w:p>
    <w:p w14:paraId="03138CFA" w14:textId="77777777" w:rsidR="00CB685C" w:rsidRPr="00CB685C" w:rsidRDefault="00CB685C" w:rsidP="00CB685C">
      <w:pPr>
        <w:numPr>
          <w:ilvl w:val="0"/>
          <w:numId w:val="5"/>
        </w:numPr>
        <w:bidi/>
        <w:spacing w:after="0" w:line="276" w:lineRule="auto"/>
        <w:jc w:val="mediumKashida"/>
        <w:rPr>
          <w:rFonts w:ascii="+AB Nawwar" w:hAnsi="+AB Nawwar" w:cs="+AB Nawwar"/>
          <w:sz w:val="28"/>
          <w:szCs w:val="28"/>
        </w:rPr>
      </w:pPr>
      <w:r w:rsidRPr="00CB685C">
        <w:rPr>
          <w:rFonts w:ascii="+AB Nawwar" w:hAnsi="+AB Nawwar" w:cs="+AB Nawwar"/>
          <w:sz w:val="28"/>
          <w:szCs w:val="28"/>
          <w:rtl/>
        </w:rPr>
        <w:t>فحص قاع العين</w:t>
      </w:r>
      <w:r w:rsidRPr="00CB685C">
        <w:rPr>
          <w:rFonts w:ascii="+AB Nawwar" w:hAnsi="+AB Nawwar" w:cs="+AB Nawwar"/>
          <w:sz w:val="28"/>
          <w:szCs w:val="28"/>
        </w:rPr>
        <w:t>.</w:t>
      </w:r>
    </w:p>
    <w:p w14:paraId="2013FC68" w14:textId="4AFACCC9" w:rsidR="00CB685C" w:rsidRPr="00CB685C" w:rsidRDefault="00CB685C" w:rsidP="00CB685C">
      <w:pPr>
        <w:numPr>
          <w:ilvl w:val="0"/>
          <w:numId w:val="5"/>
        </w:numPr>
        <w:bidi/>
        <w:spacing w:after="0" w:line="276" w:lineRule="auto"/>
        <w:jc w:val="mediumKashida"/>
        <w:rPr>
          <w:rFonts w:ascii="+AB Nawwar" w:hAnsi="+AB Nawwar" w:cs="+AB Nawwar"/>
          <w:sz w:val="28"/>
          <w:szCs w:val="28"/>
        </w:rPr>
      </w:pPr>
      <w:r w:rsidRPr="00CB685C">
        <w:rPr>
          <w:rFonts w:ascii="+AB Nawwar" w:hAnsi="+AB Nawwar" w:cs="+AB Nawwar"/>
          <w:sz w:val="28"/>
          <w:szCs w:val="28"/>
          <w:rtl/>
        </w:rPr>
        <w:t xml:space="preserve">تخطيط كهربائية القلب </w:t>
      </w:r>
      <w:r>
        <w:rPr>
          <w:rFonts w:ascii="+AB Nawwar" w:hAnsi="+AB Nawwar" w:cs="+AB Nawwar"/>
          <w:sz w:val="28"/>
          <w:szCs w:val="28"/>
        </w:rPr>
        <w:t>ECG</w:t>
      </w:r>
    </w:p>
    <w:p w14:paraId="39C6F45B" w14:textId="77777777" w:rsidR="00CB685C" w:rsidRPr="00CB685C" w:rsidRDefault="00CB685C" w:rsidP="00CB685C">
      <w:pPr>
        <w:numPr>
          <w:ilvl w:val="0"/>
          <w:numId w:val="5"/>
        </w:numPr>
        <w:bidi/>
        <w:spacing w:after="0" w:line="276" w:lineRule="auto"/>
        <w:jc w:val="mediumKashida"/>
        <w:rPr>
          <w:rFonts w:ascii="+AB Nawwar" w:hAnsi="+AB Nawwar" w:cs="+AB Nawwar"/>
          <w:sz w:val="28"/>
          <w:szCs w:val="28"/>
        </w:rPr>
      </w:pPr>
      <w:r w:rsidRPr="00CB685C">
        <w:rPr>
          <w:rFonts w:ascii="+AB Nawwar" w:hAnsi="+AB Nawwar" w:cs="+AB Nawwar"/>
          <w:sz w:val="28"/>
          <w:szCs w:val="28"/>
          <w:rtl/>
        </w:rPr>
        <w:t>الهيموغلوبين، وتعداد الصفيحات، والفيبرينوجين، ولطاخة الدم المحيطية</w:t>
      </w:r>
      <w:r w:rsidRPr="00CB685C">
        <w:rPr>
          <w:rFonts w:ascii="+AB Nawwar" w:hAnsi="+AB Nawwar" w:cs="+AB Nawwar"/>
          <w:sz w:val="28"/>
          <w:szCs w:val="28"/>
        </w:rPr>
        <w:t>.</w:t>
      </w:r>
    </w:p>
    <w:p w14:paraId="209917FC" w14:textId="77777777" w:rsidR="00CB685C" w:rsidRPr="00CB685C" w:rsidRDefault="00CB685C" w:rsidP="00CB685C">
      <w:pPr>
        <w:numPr>
          <w:ilvl w:val="0"/>
          <w:numId w:val="5"/>
        </w:numPr>
        <w:bidi/>
        <w:spacing w:after="0" w:line="276" w:lineRule="auto"/>
        <w:jc w:val="mediumKashida"/>
        <w:rPr>
          <w:rFonts w:ascii="+AB Nawwar" w:hAnsi="+AB Nawwar" w:cs="+AB Nawwar"/>
          <w:sz w:val="28"/>
          <w:szCs w:val="28"/>
        </w:rPr>
      </w:pPr>
      <w:r w:rsidRPr="00CB685C">
        <w:rPr>
          <w:rFonts w:ascii="+AB Nawwar" w:hAnsi="+AB Nawwar" w:cs="+AB Nawwar"/>
          <w:sz w:val="28"/>
          <w:szCs w:val="28"/>
          <w:rtl/>
        </w:rPr>
        <w:t>الكرياتينين، ومعدل الترشيح الكبيبي المقدّر</w:t>
      </w:r>
      <w:r w:rsidRPr="00CB685C">
        <w:rPr>
          <w:rFonts w:ascii="+AB Nawwar" w:hAnsi="+AB Nawwar" w:cs="+AB Nawwar"/>
          <w:sz w:val="28"/>
          <w:szCs w:val="28"/>
        </w:rPr>
        <w:t xml:space="preserve"> (</w:t>
      </w:r>
      <w:proofErr w:type="spellStart"/>
      <w:r w:rsidRPr="00CB685C">
        <w:rPr>
          <w:rFonts w:ascii="+AB Nawwar" w:hAnsi="+AB Nawwar" w:cs="+AB Nawwar"/>
          <w:sz w:val="28"/>
          <w:szCs w:val="28"/>
        </w:rPr>
        <w:t>eGFR</w:t>
      </w:r>
      <w:proofErr w:type="spellEnd"/>
      <w:r w:rsidRPr="00CB685C">
        <w:rPr>
          <w:rFonts w:ascii="+AB Nawwar" w:hAnsi="+AB Nawwar" w:cs="+AB Nawwar"/>
          <w:sz w:val="28"/>
          <w:szCs w:val="28"/>
        </w:rPr>
        <w:t>)</w:t>
      </w:r>
      <w:r w:rsidRPr="00CB685C">
        <w:rPr>
          <w:rFonts w:ascii="+AB Nawwar" w:hAnsi="+AB Nawwar" w:cs="+AB Nawwar"/>
          <w:sz w:val="28"/>
          <w:szCs w:val="28"/>
          <w:rtl/>
        </w:rPr>
        <w:t>، والشوارد، وإنزيم نازعة هيدروجين اللاكتات</w:t>
      </w:r>
      <w:r w:rsidRPr="00CB685C">
        <w:rPr>
          <w:rFonts w:ascii="+AB Nawwar" w:hAnsi="+AB Nawwar" w:cs="+AB Nawwar"/>
          <w:sz w:val="28"/>
          <w:szCs w:val="28"/>
        </w:rPr>
        <w:t xml:space="preserve"> (LDH)</w:t>
      </w:r>
      <w:r w:rsidRPr="00CB685C">
        <w:rPr>
          <w:rFonts w:ascii="+AB Nawwar" w:hAnsi="+AB Nawwar" w:cs="+AB Nawwar"/>
          <w:sz w:val="28"/>
          <w:szCs w:val="28"/>
          <w:rtl/>
        </w:rPr>
        <w:t>، والهابتوغلوبين</w:t>
      </w:r>
      <w:r w:rsidRPr="00CB685C">
        <w:rPr>
          <w:rFonts w:ascii="+AB Nawwar" w:hAnsi="+AB Nawwar" w:cs="+AB Nawwar"/>
          <w:sz w:val="28"/>
          <w:szCs w:val="28"/>
        </w:rPr>
        <w:t>.</w:t>
      </w:r>
    </w:p>
    <w:p w14:paraId="2C39D89E" w14:textId="77777777" w:rsidR="00CB685C" w:rsidRPr="00CB685C" w:rsidRDefault="00CB685C" w:rsidP="00CB685C">
      <w:pPr>
        <w:numPr>
          <w:ilvl w:val="0"/>
          <w:numId w:val="5"/>
        </w:numPr>
        <w:bidi/>
        <w:spacing w:after="0" w:line="276" w:lineRule="auto"/>
        <w:jc w:val="mediumKashida"/>
        <w:rPr>
          <w:rFonts w:ascii="+AB Nawwar" w:hAnsi="+AB Nawwar" w:cs="+AB Nawwar"/>
          <w:sz w:val="28"/>
          <w:szCs w:val="28"/>
        </w:rPr>
      </w:pPr>
      <w:r w:rsidRPr="00CB685C">
        <w:rPr>
          <w:rFonts w:ascii="+AB Nawwar" w:hAnsi="+AB Nawwar" w:cs="+AB Nawwar"/>
          <w:sz w:val="28"/>
          <w:szCs w:val="28"/>
          <w:rtl/>
        </w:rPr>
        <w:t>نسبة الألبومين إلى الكرياتينين في البول</w:t>
      </w:r>
      <w:r w:rsidRPr="00CB685C">
        <w:rPr>
          <w:rFonts w:ascii="+AB Nawwar" w:hAnsi="+AB Nawwar" w:cs="+AB Nawwar"/>
          <w:sz w:val="28"/>
          <w:szCs w:val="28"/>
        </w:rPr>
        <w:t xml:space="preserve"> (UACR)</w:t>
      </w:r>
      <w:r w:rsidRPr="00CB685C">
        <w:rPr>
          <w:rFonts w:ascii="+AB Nawwar" w:hAnsi="+AB Nawwar" w:cs="+AB Nawwar"/>
          <w:sz w:val="28"/>
          <w:szCs w:val="28"/>
          <w:rtl/>
        </w:rPr>
        <w:t>، والفحص المجهري للبول للكشف عن كريات الدم الحمراء والكريات البيضاء و/أو الأسطوانات</w:t>
      </w:r>
      <w:r w:rsidRPr="00CB685C">
        <w:rPr>
          <w:rFonts w:ascii="+AB Nawwar" w:hAnsi="+AB Nawwar" w:cs="+AB Nawwar"/>
          <w:sz w:val="28"/>
          <w:szCs w:val="28"/>
        </w:rPr>
        <w:t>.</w:t>
      </w:r>
    </w:p>
    <w:p w14:paraId="4237F679" w14:textId="77777777" w:rsidR="00CB685C" w:rsidRPr="00CB685C" w:rsidRDefault="00CB685C" w:rsidP="00CB685C">
      <w:pPr>
        <w:numPr>
          <w:ilvl w:val="0"/>
          <w:numId w:val="5"/>
        </w:numPr>
        <w:bidi/>
        <w:spacing w:after="0" w:line="276" w:lineRule="auto"/>
        <w:jc w:val="mediumKashida"/>
        <w:rPr>
          <w:rFonts w:ascii="+AB Nawwar" w:hAnsi="+AB Nawwar" w:cs="+AB Nawwar"/>
          <w:sz w:val="28"/>
          <w:szCs w:val="28"/>
        </w:rPr>
      </w:pPr>
      <w:r w:rsidRPr="00CB685C">
        <w:rPr>
          <w:rFonts w:ascii="+AB Nawwar" w:hAnsi="+AB Nawwar" w:cs="+AB Nawwar"/>
          <w:sz w:val="28"/>
          <w:szCs w:val="28"/>
          <w:rtl/>
        </w:rPr>
        <w:t>اختبار الحمل لدى النساء في سن الإنجاب</w:t>
      </w:r>
      <w:r w:rsidRPr="00CB685C">
        <w:rPr>
          <w:rFonts w:ascii="+AB Nawwar" w:hAnsi="+AB Nawwar" w:cs="+AB Nawwar"/>
          <w:sz w:val="28"/>
          <w:szCs w:val="28"/>
        </w:rPr>
        <w:t>.</w:t>
      </w:r>
    </w:p>
    <w:p w14:paraId="77F747F6" w14:textId="77777777" w:rsidR="00CB685C" w:rsidRPr="00CB685C" w:rsidRDefault="00CB685C" w:rsidP="00CB685C">
      <w:pPr>
        <w:bidi/>
        <w:spacing w:after="0" w:line="276" w:lineRule="auto"/>
        <w:jc w:val="mediumKashida"/>
        <w:rPr>
          <w:rFonts w:ascii="+AB Nawwar" w:hAnsi="+AB Nawwar" w:cs="+AB Nawwar"/>
          <w:b/>
          <w:bCs/>
          <w:sz w:val="28"/>
          <w:szCs w:val="28"/>
        </w:rPr>
      </w:pPr>
      <w:r w:rsidRPr="00CB685C">
        <w:rPr>
          <w:rFonts w:ascii="+AB Nawwar" w:hAnsi="+AB Nawwar" w:cs="+AB Nawwar"/>
          <w:b/>
          <w:bCs/>
          <w:sz w:val="28"/>
          <w:szCs w:val="28"/>
          <w:rtl/>
        </w:rPr>
        <w:t>الفحوص المحددة</w:t>
      </w:r>
    </w:p>
    <w:p w14:paraId="6490978F" w14:textId="77777777" w:rsidR="00CB685C" w:rsidRPr="00CB685C" w:rsidRDefault="00CB685C" w:rsidP="00CB685C">
      <w:pPr>
        <w:numPr>
          <w:ilvl w:val="0"/>
          <w:numId w:val="6"/>
        </w:numPr>
        <w:bidi/>
        <w:spacing w:after="0" w:line="276" w:lineRule="auto"/>
        <w:jc w:val="mediumKashida"/>
        <w:rPr>
          <w:rFonts w:ascii="+AB Nawwar" w:hAnsi="+AB Nawwar" w:cs="+AB Nawwar"/>
          <w:sz w:val="28"/>
          <w:szCs w:val="28"/>
        </w:rPr>
      </w:pPr>
      <w:r w:rsidRPr="00CB685C">
        <w:rPr>
          <w:rFonts w:ascii="+AB Nawwar" w:hAnsi="+AB Nawwar" w:cs="+AB Nawwar"/>
          <w:sz w:val="28"/>
          <w:szCs w:val="28"/>
          <w:rtl/>
        </w:rPr>
        <w:t>التروبونين، و</w:t>
      </w:r>
      <w:r w:rsidRPr="00CB685C">
        <w:rPr>
          <w:rFonts w:ascii="+AB Nawwar" w:hAnsi="+AB Nawwar" w:cs="+AB Nawwar"/>
          <w:sz w:val="28"/>
          <w:szCs w:val="28"/>
        </w:rPr>
        <w:t xml:space="preserve">NT-proBNP </w:t>
      </w:r>
      <w:r w:rsidRPr="00CB685C">
        <w:rPr>
          <w:rFonts w:ascii="+AB Nawwar" w:hAnsi="+AB Nawwar" w:cs="+AB Nawwar"/>
          <w:sz w:val="28"/>
          <w:szCs w:val="28"/>
          <w:rtl/>
        </w:rPr>
        <w:t>عند الاشتباه بقصور القلب و/أو المتلازمة التاجية الحادة</w:t>
      </w:r>
      <w:r w:rsidRPr="00CB685C">
        <w:rPr>
          <w:rFonts w:ascii="+AB Nawwar" w:hAnsi="+AB Nawwar" w:cs="+AB Nawwar"/>
          <w:sz w:val="28"/>
          <w:szCs w:val="28"/>
        </w:rPr>
        <w:t>.</w:t>
      </w:r>
    </w:p>
    <w:p w14:paraId="1A133812" w14:textId="77777777" w:rsidR="00CB685C" w:rsidRPr="00CB685C" w:rsidRDefault="00CB685C" w:rsidP="00CB685C">
      <w:pPr>
        <w:numPr>
          <w:ilvl w:val="0"/>
          <w:numId w:val="6"/>
        </w:numPr>
        <w:bidi/>
        <w:spacing w:after="0" w:line="276" w:lineRule="auto"/>
        <w:jc w:val="mediumKashida"/>
        <w:rPr>
          <w:rFonts w:ascii="+AB Nawwar" w:hAnsi="+AB Nawwar" w:cs="+AB Nawwar"/>
          <w:sz w:val="28"/>
          <w:szCs w:val="28"/>
        </w:rPr>
      </w:pPr>
      <w:r w:rsidRPr="00CB685C">
        <w:rPr>
          <w:rFonts w:ascii="+AB Nawwar" w:hAnsi="+AB Nawwar" w:cs="+AB Nawwar"/>
          <w:sz w:val="28"/>
          <w:szCs w:val="28"/>
          <w:rtl/>
        </w:rPr>
        <w:t>صورة أشعة للصدر أو التصوير بالموجات فوق الصوتية للكشف عن الاحتقان الرئوي وفرط تحميل السوائل</w:t>
      </w:r>
      <w:r w:rsidRPr="00CB685C">
        <w:rPr>
          <w:rFonts w:ascii="+AB Nawwar" w:hAnsi="+AB Nawwar" w:cs="+AB Nawwar"/>
          <w:sz w:val="28"/>
          <w:szCs w:val="28"/>
        </w:rPr>
        <w:t>.</w:t>
      </w:r>
    </w:p>
    <w:p w14:paraId="6E5ACC53" w14:textId="77777777" w:rsidR="00CB685C" w:rsidRPr="00CB685C" w:rsidRDefault="00CB685C" w:rsidP="00CB685C">
      <w:pPr>
        <w:numPr>
          <w:ilvl w:val="0"/>
          <w:numId w:val="6"/>
        </w:numPr>
        <w:bidi/>
        <w:spacing w:after="0" w:line="276" w:lineRule="auto"/>
        <w:jc w:val="mediumKashida"/>
        <w:rPr>
          <w:rFonts w:ascii="+AB Nawwar" w:hAnsi="+AB Nawwar" w:cs="+AB Nawwar"/>
          <w:sz w:val="28"/>
          <w:szCs w:val="28"/>
        </w:rPr>
      </w:pPr>
      <w:r w:rsidRPr="00CB685C">
        <w:rPr>
          <w:rFonts w:ascii="+AB Nawwar" w:hAnsi="+AB Nawwar" w:cs="+AB Nawwar"/>
          <w:sz w:val="28"/>
          <w:szCs w:val="28"/>
          <w:rtl/>
        </w:rPr>
        <w:t>تخطيط صدى القلب عند الاشتباه بقصور القلب أو نقص التروية الحاد أو تسلخ الأبهر</w:t>
      </w:r>
      <w:r w:rsidRPr="00CB685C">
        <w:rPr>
          <w:rFonts w:ascii="+AB Nawwar" w:hAnsi="+AB Nawwar" w:cs="+AB Nawwar"/>
          <w:sz w:val="28"/>
          <w:szCs w:val="28"/>
        </w:rPr>
        <w:t>.</w:t>
      </w:r>
    </w:p>
    <w:p w14:paraId="2C5D786D" w14:textId="77777777" w:rsidR="00CB685C" w:rsidRPr="00CB685C" w:rsidRDefault="00CB685C" w:rsidP="00CB685C">
      <w:pPr>
        <w:numPr>
          <w:ilvl w:val="0"/>
          <w:numId w:val="6"/>
        </w:numPr>
        <w:bidi/>
        <w:spacing w:after="0" w:line="276" w:lineRule="auto"/>
        <w:jc w:val="mediumKashida"/>
        <w:rPr>
          <w:rFonts w:ascii="+AB Nawwar" w:hAnsi="+AB Nawwar" w:cs="+AB Nawwar"/>
          <w:sz w:val="28"/>
          <w:szCs w:val="28"/>
        </w:rPr>
      </w:pPr>
      <w:r w:rsidRPr="00CB685C">
        <w:rPr>
          <w:rFonts w:ascii="+AB Nawwar" w:hAnsi="+AB Nawwar" w:cs="+AB Nawwar"/>
          <w:sz w:val="28"/>
          <w:szCs w:val="28"/>
          <w:rtl/>
        </w:rPr>
        <w:lastRenderedPageBreak/>
        <w:t>تصوير الأوعية بالتصوير المقطعي المحوسب للصدر و/أو البطن عند الاشتباه بمرض في الأبهر، مثل تسلخ الأبهر</w:t>
      </w:r>
      <w:r w:rsidRPr="00CB685C">
        <w:rPr>
          <w:rFonts w:ascii="+AB Nawwar" w:hAnsi="+AB Nawwar" w:cs="+AB Nawwar"/>
          <w:sz w:val="28"/>
          <w:szCs w:val="28"/>
        </w:rPr>
        <w:t>.</w:t>
      </w:r>
    </w:p>
    <w:p w14:paraId="18E1B335" w14:textId="77777777" w:rsidR="00CB685C" w:rsidRPr="00CB685C" w:rsidRDefault="00CB685C" w:rsidP="00CB685C">
      <w:pPr>
        <w:numPr>
          <w:ilvl w:val="0"/>
          <w:numId w:val="6"/>
        </w:numPr>
        <w:bidi/>
        <w:spacing w:after="0" w:line="276" w:lineRule="auto"/>
        <w:jc w:val="mediumKashida"/>
        <w:rPr>
          <w:rFonts w:ascii="+AB Nawwar" w:hAnsi="+AB Nawwar" w:cs="+AB Nawwar"/>
          <w:sz w:val="28"/>
          <w:szCs w:val="28"/>
        </w:rPr>
      </w:pPr>
      <w:r w:rsidRPr="00CB685C">
        <w:rPr>
          <w:rFonts w:ascii="+AB Nawwar" w:hAnsi="+AB Nawwar" w:cs="+AB Nawwar"/>
          <w:sz w:val="28"/>
          <w:szCs w:val="28"/>
          <w:rtl/>
        </w:rPr>
        <w:t>التصوير المقطعي المحوسب أو التصوير بالرنين المغناطيسي للدماغ عند وجود إصابة في الجهاز العصبي</w:t>
      </w:r>
      <w:r w:rsidRPr="00CB685C">
        <w:rPr>
          <w:rFonts w:ascii="+AB Nawwar" w:hAnsi="+AB Nawwar" w:cs="+AB Nawwar"/>
          <w:sz w:val="28"/>
          <w:szCs w:val="28"/>
        </w:rPr>
        <w:t>.</w:t>
      </w:r>
    </w:p>
    <w:p w14:paraId="25A4C847" w14:textId="77777777" w:rsidR="00CB685C" w:rsidRPr="00CB685C" w:rsidRDefault="00CB685C" w:rsidP="00CB685C">
      <w:pPr>
        <w:numPr>
          <w:ilvl w:val="0"/>
          <w:numId w:val="6"/>
        </w:numPr>
        <w:bidi/>
        <w:spacing w:after="0" w:line="276" w:lineRule="auto"/>
        <w:jc w:val="mediumKashida"/>
        <w:rPr>
          <w:rFonts w:ascii="+AB Nawwar" w:hAnsi="+AB Nawwar" w:cs="+AB Nawwar"/>
          <w:sz w:val="28"/>
          <w:szCs w:val="28"/>
        </w:rPr>
      </w:pPr>
      <w:r w:rsidRPr="00CB685C">
        <w:rPr>
          <w:rFonts w:ascii="+AB Nawwar" w:hAnsi="+AB Nawwar" w:cs="+AB Nawwar"/>
          <w:sz w:val="28"/>
          <w:szCs w:val="28"/>
          <w:rtl/>
        </w:rPr>
        <w:t>التصوير بالموجات فوق الصوتية للكليتين عند وجود قصور كلوي أو الاشتباه بتضيق الشريان الكلوي</w:t>
      </w:r>
      <w:r w:rsidRPr="00CB685C">
        <w:rPr>
          <w:rFonts w:ascii="+AB Nawwar" w:hAnsi="+AB Nawwar" w:cs="+AB Nawwar"/>
          <w:sz w:val="28"/>
          <w:szCs w:val="28"/>
        </w:rPr>
        <w:t>.</w:t>
      </w:r>
    </w:p>
    <w:p w14:paraId="3DA42555" w14:textId="77777777" w:rsidR="00CB685C" w:rsidRPr="00CB685C" w:rsidRDefault="00CB685C" w:rsidP="00CB685C">
      <w:pPr>
        <w:numPr>
          <w:ilvl w:val="0"/>
          <w:numId w:val="6"/>
        </w:numPr>
        <w:bidi/>
        <w:spacing w:after="0" w:line="276" w:lineRule="auto"/>
        <w:jc w:val="mediumKashida"/>
        <w:rPr>
          <w:rFonts w:ascii="+AB Nawwar" w:hAnsi="+AB Nawwar" w:cs="+AB Nawwar"/>
          <w:sz w:val="28"/>
          <w:szCs w:val="28"/>
        </w:rPr>
      </w:pPr>
      <w:r w:rsidRPr="00CB685C">
        <w:rPr>
          <w:rFonts w:ascii="+AB Nawwar" w:hAnsi="+AB Nawwar" w:cs="+AB Nawwar"/>
          <w:sz w:val="28"/>
          <w:szCs w:val="28"/>
          <w:rtl/>
        </w:rPr>
        <w:t>فحص المخدرات في البول عند الاشتباه باستخدام الكوكايين أو الميثامفيتامين</w:t>
      </w:r>
      <w:r w:rsidRPr="00CB685C">
        <w:rPr>
          <w:rFonts w:ascii="+AB Nawwar" w:hAnsi="+AB Nawwar" w:cs="+AB Nawwar"/>
          <w:sz w:val="28"/>
          <w:szCs w:val="28"/>
        </w:rPr>
        <w:t>.</w:t>
      </w:r>
    </w:p>
    <w:p w14:paraId="708C1C4D" w14:textId="3041F9E4" w:rsidR="00503EF5" w:rsidRPr="00CB685C" w:rsidRDefault="00503EF5" w:rsidP="00CB685C">
      <w:pPr>
        <w:bidi/>
        <w:spacing w:after="0" w:line="276" w:lineRule="auto"/>
        <w:jc w:val="mediumKashida"/>
        <w:rPr>
          <w:rFonts w:ascii="+AB Nawwar" w:hAnsi="+AB Nawwar" w:cs="+AB Nawwar"/>
          <w:sz w:val="28"/>
          <w:szCs w:val="28"/>
          <w:rtl/>
        </w:rPr>
      </w:pPr>
    </w:p>
    <w:p w14:paraId="44B35EA0" w14:textId="77777777" w:rsidR="00CB685C" w:rsidRPr="00C66C52" w:rsidRDefault="00CB685C" w:rsidP="00CB685C">
      <w:pPr>
        <w:bidi/>
        <w:spacing w:after="0" w:line="276" w:lineRule="auto"/>
        <w:jc w:val="mediumKashida"/>
        <w:rPr>
          <w:rFonts w:ascii="+AB Nawwar" w:hAnsi="+AB Nawwar" w:cs="+AB Nawwar"/>
          <w:sz w:val="28"/>
          <w:szCs w:val="28"/>
        </w:rPr>
      </w:pPr>
    </w:p>
    <w:p w14:paraId="4A26B1D4" w14:textId="77777777" w:rsidR="00503EF5" w:rsidRPr="00C66C52" w:rsidRDefault="00503EF5" w:rsidP="00CB685C">
      <w:pPr>
        <w:bidi/>
        <w:spacing w:after="0" w:line="276" w:lineRule="auto"/>
        <w:jc w:val="mediumKashida"/>
        <w:rPr>
          <w:rFonts w:ascii="+AB Nawwar" w:hAnsi="+AB Nawwar" w:cs="+AB Nawwar"/>
          <w:sz w:val="28"/>
          <w:szCs w:val="28"/>
        </w:rPr>
      </w:pPr>
    </w:p>
    <w:p w14:paraId="4980F598" w14:textId="77777777" w:rsidR="00503EF5" w:rsidRPr="00C66C52" w:rsidRDefault="00503EF5" w:rsidP="00CB685C">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إجراءات التشخيص في المستشفى ، العلاج والمتابعة</w:t>
      </w:r>
    </w:p>
    <w:p w14:paraId="735AB16A"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ينبغي إدخال حالات الطوارئ المتعلقة بارتفاع ضغط الدم، بما في ذلك ضغط الدم 170/110 ملم زئبق لدى المرأة الحامل، إلى المستشفى. باستثناء الخفض الحاد لـ ضغط الدم في السكتة الدماغية، لا توجد تجارب معشاة ذات شواهد لتدبير هذه الحالات. يجب أولاً تحديد الأعضاء المتأثرة لتحديد ما إذا كانت (1) تتطلب أي تدخل نوعي بخلاف خفض ضغط الدم و (2) هناك سبب للارتفاع الحاد في ضغط الدم الذي قد يؤثر على خطة العلاج (مثل الحمل).</w:t>
      </w:r>
    </w:p>
    <w:p w14:paraId="7955309B"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ثم ينبغي اتخاذ القرار بشأن النطاق الزمني وحجم خفض ضغط الدم وكذلك بشأن نوع العلاج الدوائي الذي قد يكون مناسباً.</w:t>
      </w:r>
    </w:p>
    <w:p w14:paraId="5436A950" w14:textId="77777777" w:rsidR="00503EF5" w:rsidRDefault="00503EF5" w:rsidP="00CB685C">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يعد العلاج عن طريق الوريد بدواء له نصف عمر قصير مثالياً للسماح بالمعايرة الدقيقة لاستجابة ضغط الدم، مما يبقي المريض في منطقة سريرية قريبة تحت مراقبة الدورة الدموية المستمرة (الجدول 24). لا يوصى بخفض ضغط الدم بشكل سريع وغير متحكم فيه، وبالتالي، يجب استخدام جرعات أولية منخفضة مع زيادة الجرعة بحذر. يكون العلاج عن طريق الفم باستخدام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ARBs</w:t>
      </w:r>
      <w:r w:rsidRPr="00C66C52">
        <w:rPr>
          <w:rFonts w:ascii="+AB Nawwar" w:hAnsi="+AB Nawwar" w:cs="+AB Nawwar"/>
          <w:sz w:val="28"/>
          <w:szCs w:val="28"/>
          <w:rtl/>
        </w:rPr>
        <w:t xml:space="preserve"> أو </w:t>
      </w:r>
      <w:r w:rsidRPr="00C66C52">
        <w:rPr>
          <w:rFonts w:ascii="+AB Nawwar" w:hAnsi="+AB Nawwar" w:cs="+AB Nawwar"/>
          <w:sz w:val="28"/>
          <w:szCs w:val="28"/>
        </w:rPr>
        <w:t>BBs</w:t>
      </w:r>
      <w:r w:rsidRPr="00C66C52">
        <w:rPr>
          <w:rFonts w:ascii="+AB Nawwar" w:hAnsi="+AB Nawwar" w:cs="+AB Nawwar"/>
          <w:sz w:val="28"/>
          <w:szCs w:val="28"/>
          <w:rtl/>
        </w:rPr>
        <w:t xml:space="preserve"> (بجرعات أولية منخفضة ومعايرة تصاعدية حذرة) فعالاً في بعض الأحيان في ارتفاع ضغط الدم الخبيث لأن </w:t>
      </w:r>
      <w:r w:rsidRPr="00C66C52">
        <w:rPr>
          <w:rFonts w:ascii="+AB Nawwar" w:hAnsi="+AB Nawwar" w:cs="+AB Nawwar"/>
          <w:sz w:val="28"/>
          <w:szCs w:val="28"/>
        </w:rPr>
        <w:t>RAS</w:t>
      </w:r>
      <w:r w:rsidRPr="00C66C52">
        <w:rPr>
          <w:rFonts w:ascii="+AB Nawwar" w:hAnsi="+AB Nawwar" w:cs="+AB Nawwar"/>
          <w:sz w:val="28"/>
          <w:szCs w:val="28"/>
          <w:rtl/>
        </w:rPr>
        <w:t xml:space="preserve"> قد يتم تنشيطه بواسطة نقص تروية الكلى المرافق.</w:t>
      </w:r>
    </w:p>
    <w:p w14:paraId="388622B2" w14:textId="77777777" w:rsidR="00CB685C" w:rsidRDefault="00CB685C" w:rsidP="00CB685C">
      <w:pPr>
        <w:bidi/>
        <w:spacing w:after="0" w:line="276" w:lineRule="auto"/>
        <w:jc w:val="mediumKashida"/>
        <w:rPr>
          <w:rFonts w:ascii="+AB Nawwar" w:hAnsi="+AB Nawwar" w:cs="+AB Nawwar"/>
          <w:sz w:val="28"/>
          <w:szCs w:val="28"/>
          <w:rtl/>
        </w:rPr>
      </w:pPr>
    </w:p>
    <w:p w14:paraId="1CADC7D5" w14:textId="77777777" w:rsidR="00CB685C" w:rsidRDefault="00CB685C" w:rsidP="00CB685C">
      <w:pPr>
        <w:bidi/>
        <w:spacing w:after="0" w:line="276" w:lineRule="auto"/>
        <w:jc w:val="mediumKashida"/>
        <w:rPr>
          <w:rFonts w:ascii="+AB Nawwar" w:hAnsi="+AB Nawwar" w:cs="+AB Nawwar"/>
          <w:sz w:val="28"/>
          <w:szCs w:val="28"/>
          <w:rtl/>
        </w:rPr>
      </w:pPr>
    </w:p>
    <w:p w14:paraId="638F4417" w14:textId="77777777" w:rsidR="00CB685C" w:rsidRDefault="00CB685C" w:rsidP="00CB685C">
      <w:pPr>
        <w:bidi/>
        <w:spacing w:after="0" w:line="276" w:lineRule="auto"/>
        <w:jc w:val="mediumKashida"/>
        <w:rPr>
          <w:rFonts w:ascii="+AB Nawwar" w:hAnsi="+AB Nawwar" w:cs="+AB Nawwar"/>
          <w:sz w:val="28"/>
          <w:szCs w:val="28"/>
          <w:rtl/>
        </w:rPr>
      </w:pPr>
    </w:p>
    <w:p w14:paraId="0B22EB5F" w14:textId="77777777" w:rsidR="00CB685C" w:rsidRDefault="00CB685C" w:rsidP="00CB685C">
      <w:pPr>
        <w:bidi/>
        <w:spacing w:after="0" w:line="276" w:lineRule="auto"/>
        <w:jc w:val="mediumKashida"/>
        <w:rPr>
          <w:rFonts w:ascii="+AB Nawwar" w:hAnsi="+AB Nawwar" w:cs="+AB Nawwar"/>
          <w:sz w:val="28"/>
          <w:szCs w:val="28"/>
          <w:rtl/>
        </w:rPr>
      </w:pPr>
    </w:p>
    <w:p w14:paraId="4C9EA5C2" w14:textId="77777777" w:rsidR="00CB685C" w:rsidRDefault="00CB685C" w:rsidP="00CB685C">
      <w:pPr>
        <w:bidi/>
        <w:spacing w:after="0" w:line="276" w:lineRule="auto"/>
        <w:jc w:val="mediumKashida"/>
        <w:rPr>
          <w:rFonts w:ascii="+AB Nawwar" w:hAnsi="+AB Nawwar" w:cs="+AB Nawwar"/>
          <w:sz w:val="28"/>
          <w:szCs w:val="28"/>
          <w:rtl/>
        </w:rPr>
      </w:pPr>
    </w:p>
    <w:p w14:paraId="14468EEA" w14:textId="77777777" w:rsidR="00CB685C" w:rsidRDefault="00CB685C" w:rsidP="00CB685C">
      <w:pPr>
        <w:bidi/>
        <w:spacing w:after="0" w:line="276" w:lineRule="auto"/>
        <w:jc w:val="mediumKashida"/>
        <w:rPr>
          <w:rFonts w:ascii="+AB Nawwar" w:hAnsi="+AB Nawwar" w:cs="+AB Nawwar"/>
          <w:sz w:val="28"/>
          <w:szCs w:val="28"/>
          <w:rtl/>
        </w:rPr>
      </w:pPr>
    </w:p>
    <w:p w14:paraId="06881BD4" w14:textId="77777777" w:rsidR="00CB685C" w:rsidRDefault="00CB685C" w:rsidP="00CB685C">
      <w:pPr>
        <w:bidi/>
        <w:spacing w:after="0" w:line="276" w:lineRule="auto"/>
        <w:jc w:val="mediumKashida"/>
        <w:rPr>
          <w:rFonts w:ascii="+AB Nawwar" w:hAnsi="+AB Nawwar" w:cs="+AB Nawwar"/>
          <w:sz w:val="28"/>
          <w:szCs w:val="28"/>
          <w:rtl/>
        </w:rPr>
      </w:pPr>
    </w:p>
    <w:p w14:paraId="536B1AE5" w14:textId="77777777" w:rsidR="00CB685C" w:rsidRDefault="00CB685C" w:rsidP="00CB685C">
      <w:pPr>
        <w:bidi/>
        <w:spacing w:after="0" w:line="276" w:lineRule="auto"/>
        <w:jc w:val="mediumKashida"/>
        <w:rPr>
          <w:rFonts w:ascii="+AB Nawwar" w:hAnsi="+AB Nawwar" w:cs="+AB Nawwar"/>
          <w:sz w:val="28"/>
          <w:szCs w:val="28"/>
          <w:rtl/>
        </w:rPr>
      </w:pPr>
    </w:p>
    <w:p w14:paraId="766E2473" w14:textId="77777777" w:rsidR="00CB685C" w:rsidRDefault="00CB685C" w:rsidP="00CB685C">
      <w:pPr>
        <w:bidi/>
        <w:spacing w:after="0" w:line="276" w:lineRule="auto"/>
        <w:jc w:val="mediumKashida"/>
        <w:rPr>
          <w:rFonts w:ascii="+AB Nawwar" w:hAnsi="+AB Nawwar" w:cs="+AB Nawwar"/>
          <w:sz w:val="28"/>
          <w:szCs w:val="28"/>
          <w:rtl/>
        </w:rPr>
      </w:pPr>
    </w:p>
    <w:p w14:paraId="1A012D50" w14:textId="77777777" w:rsidR="00CB685C" w:rsidRDefault="00CB685C" w:rsidP="00CB685C">
      <w:pPr>
        <w:bidi/>
        <w:spacing w:after="0" w:line="276" w:lineRule="auto"/>
        <w:jc w:val="mediumKashida"/>
        <w:rPr>
          <w:rFonts w:ascii="+AB Nawwar" w:hAnsi="+AB Nawwar" w:cs="+AB Nawwar"/>
          <w:sz w:val="28"/>
          <w:szCs w:val="28"/>
          <w:rtl/>
        </w:rPr>
      </w:pPr>
    </w:p>
    <w:p w14:paraId="7CF69B6B" w14:textId="77777777" w:rsidR="00CB685C" w:rsidRPr="00C66C52" w:rsidRDefault="00CB685C" w:rsidP="00CB685C">
      <w:pPr>
        <w:bidi/>
        <w:spacing w:after="0" w:line="276" w:lineRule="auto"/>
        <w:jc w:val="mediumKashida"/>
        <w:rPr>
          <w:rFonts w:ascii="+AB Nawwar" w:hAnsi="+AB Nawwar" w:cs="+AB Nawwar"/>
          <w:sz w:val="28"/>
          <w:szCs w:val="28"/>
          <w:rtl/>
        </w:rPr>
      </w:pPr>
    </w:p>
    <w:p w14:paraId="290E8685" w14:textId="21C4883B" w:rsidR="00CB685C" w:rsidRPr="00CB685C" w:rsidRDefault="00CB685C" w:rsidP="00CB685C">
      <w:pPr>
        <w:bidi/>
        <w:spacing w:after="0" w:line="276" w:lineRule="auto"/>
        <w:jc w:val="mediumKashida"/>
        <w:rPr>
          <w:rFonts w:ascii="+AB Nawwar" w:hAnsi="+AB Nawwar" w:cs="+AB Nawwar"/>
          <w:sz w:val="28"/>
          <w:szCs w:val="28"/>
        </w:rPr>
      </w:pPr>
    </w:p>
    <w:tbl>
      <w:tblPr>
        <w:tblW w:w="0" w:type="auto"/>
        <w:tblCellSpacing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5" w:type="dxa"/>
          <w:left w:w="15" w:type="dxa"/>
          <w:bottom w:w="15" w:type="dxa"/>
          <w:right w:w="15" w:type="dxa"/>
        </w:tblCellMar>
        <w:tblLook w:val="04A0" w:firstRow="1" w:lastRow="0" w:firstColumn="1" w:lastColumn="0" w:noHBand="0" w:noVBand="1"/>
      </w:tblPr>
      <w:tblGrid>
        <w:gridCol w:w="1696"/>
        <w:gridCol w:w="2248"/>
        <w:gridCol w:w="2828"/>
        <w:gridCol w:w="2270"/>
      </w:tblGrid>
      <w:tr w:rsidR="00CB685C" w:rsidRPr="00CB685C" w14:paraId="3D1C9355" w14:textId="77777777" w:rsidTr="00E0662A">
        <w:trPr>
          <w:tblHeader/>
          <w:tblCellSpacing w:w="15" w:type="dxa"/>
        </w:trPr>
        <w:tc>
          <w:tcPr>
            <w:tcW w:w="0" w:type="auto"/>
            <w:vAlign w:val="center"/>
            <w:hideMark/>
          </w:tcPr>
          <w:p w14:paraId="2D4B654C" w14:textId="77777777" w:rsidR="00CB685C" w:rsidRPr="00CB685C" w:rsidRDefault="00CB685C" w:rsidP="00CB685C">
            <w:pPr>
              <w:bidi/>
              <w:spacing w:after="0" w:line="276" w:lineRule="auto"/>
              <w:jc w:val="mediumKashida"/>
              <w:rPr>
                <w:rFonts w:ascii="+AB Nawwar" w:hAnsi="+AB Nawwar" w:cs="+AB Nawwar"/>
                <w:b/>
                <w:bCs/>
                <w:sz w:val="28"/>
                <w:szCs w:val="28"/>
              </w:rPr>
            </w:pPr>
            <w:r w:rsidRPr="00CB685C">
              <w:rPr>
                <w:rFonts w:ascii="+AB Nawwar" w:hAnsi="+AB Nawwar" w:cs="+AB Nawwar"/>
                <w:b/>
                <w:bCs/>
                <w:sz w:val="28"/>
                <w:szCs w:val="28"/>
                <w:rtl/>
              </w:rPr>
              <w:lastRenderedPageBreak/>
              <w:t>البديل</w:t>
            </w:r>
          </w:p>
        </w:tc>
        <w:tc>
          <w:tcPr>
            <w:tcW w:w="0" w:type="auto"/>
            <w:vAlign w:val="center"/>
            <w:hideMark/>
          </w:tcPr>
          <w:p w14:paraId="4079EB4D" w14:textId="77777777" w:rsidR="00CB685C" w:rsidRPr="00CB685C" w:rsidRDefault="00CB685C" w:rsidP="00CB685C">
            <w:pPr>
              <w:bidi/>
              <w:spacing w:after="0" w:line="276" w:lineRule="auto"/>
              <w:jc w:val="mediumKashida"/>
              <w:rPr>
                <w:rFonts w:ascii="+AB Nawwar" w:hAnsi="+AB Nawwar" w:cs="+AB Nawwar"/>
                <w:b/>
                <w:bCs/>
                <w:sz w:val="28"/>
                <w:szCs w:val="28"/>
              </w:rPr>
            </w:pPr>
            <w:r w:rsidRPr="00CB685C">
              <w:rPr>
                <w:rFonts w:ascii="+AB Nawwar" w:hAnsi="+AB Nawwar" w:cs="+AB Nawwar"/>
                <w:b/>
                <w:bCs/>
                <w:sz w:val="28"/>
                <w:szCs w:val="28"/>
                <w:rtl/>
              </w:rPr>
              <w:t>العلاج الأول</w:t>
            </w:r>
          </w:p>
        </w:tc>
        <w:tc>
          <w:tcPr>
            <w:tcW w:w="0" w:type="auto"/>
            <w:vAlign w:val="center"/>
            <w:hideMark/>
          </w:tcPr>
          <w:p w14:paraId="2044C8E2" w14:textId="0C72E510" w:rsidR="00CB685C" w:rsidRPr="00CB685C" w:rsidRDefault="00CB685C" w:rsidP="00CB685C">
            <w:pPr>
              <w:bidi/>
              <w:spacing w:after="0" w:line="276" w:lineRule="auto"/>
              <w:jc w:val="mediumKashida"/>
              <w:rPr>
                <w:rFonts w:ascii="+AB Nawwar" w:hAnsi="+AB Nawwar" w:cs="+AB Nawwar"/>
                <w:b/>
                <w:bCs/>
                <w:sz w:val="28"/>
                <w:szCs w:val="28"/>
              </w:rPr>
            </w:pPr>
            <w:r w:rsidRPr="00CB685C">
              <w:rPr>
                <w:rFonts w:ascii="+AB Nawwar" w:hAnsi="+AB Nawwar" w:cs="+AB Nawwar"/>
                <w:b/>
                <w:bCs/>
                <w:sz w:val="28"/>
                <w:szCs w:val="28"/>
                <w:rtl/>
              </w:rPr>
              <w:t xml:space="preserve">التوقيت والهدف </w:t>
            </w:r>
          </w:p>
        </w:tc>
        <w:tc>
          <w:tcPr>
            <w:tcW w:w="0" w:type="auto"/>
            <w:vAlign w:val="center"/>
            <w:hideMark/>
          </w:tcPr>
          <w:p w14:paraId="09DB4CC3" w14:textId="77777777" w:rsidR="00CB685C" w:rsidRPr="00CB685C" w:rsidRDefault="00CB685C" w:rsidP="00CB685C">
            <w:pPr>
              <w:bidi/>
              <w:spacing w:after="0" w:line="276" w:lineRule="auto"/>
              <w:jc w:val="mediumKashida"/>
              <w:rPr>
                <w:rFonts w:ascii="+AB Nawwar" w:hAnsi="+AB Nawwar" w:cs="+AB Nawwar"/>
                <w:b/>
                <w:bCs/>
                <w:sz w:val="28"/>
                <w:szCs w:val="28"/>
              </w:rPr>
            </w:pPr>
            <w:r w:rsidRPr="00CB685C">
              <w:rPr>
                <w:rFonts w:ascii="+AB Nawwar" w:hAnsi="+AB Nawwar" w:cs="+AB Nawwar"/>
                <w:b/>
                <w:bCs/>
                <w:sz w:val="28"/>
                <w:szCs w:val="28"/>
                <w:rtl/>
              </w:rPr>
              <w:t>العرض السريري</w:t>
            </w:r>
          </w:p>
        </w:tc>
      </w:tr>
      <w:tr w:rsidR="00CB685C" w:rsidRPr="00CB685C" w14:paraId="2FAAEF1D" w14:textId="77777777" w:rsidTr="00E0662A">
        <w:trPr>
          <w:tblCellSpacing w:w="15" w:type="dxa"/>
        </w:trPr>
        <w:tc>
          <w:tcPr>
            <w:tcW w:w="0" w:type="auto"/>
            <w:vAlign w:val="center"/>
            <w:hideMark/>
          </w:tcPr>
          <w:p w14:paraId="0C4CEA17"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نيتروبروسيد أو أورابيديل</w:t>
            </w:r>
          </w:p>
        </w:tc>
        <w:tc>
          <w:tcPr>
            <w:tcW w:w="0" w:type="auto"/>
            <w:vAlign w:val="center"/>
            <w:hideMark/>
          </w:tcPr>
          <w:p w14:paraId="7DBD2F65"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لابيتالول أو نيكارديبين</w:t>
            </w:r>
          </w:p>
        </w:tc>
        <w:tc>
          <w:tcPr>
            <w:tcW w:w="0" w:type="auto"/>
            <w:vAlign w:val="center"/>
            <w:hideMark/>
          </w:tcPr>
          <w:p w14:paraId="5DD03AFD"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 xml:space="preserve">خلال عدة ساعات؛ خفض متوسط الضغط بنسبة </w:t>
            </w:r>
            <w:r w:rsidRPr="00CB685C">
              <w:rPr>
                <w:rFonts w:ascii="+AB Nawwar" w:hAnsi="+AB Nawwar" w:cs="+AB Nawwar"/>
                <w:sz w:val="28"/>
                <w:szCs w:val="28"/>
              </w:rPr>
              <w:t>20–25%</w:t>
            </w:r>
          </w:p>
        </w:tc>
        <w:tc>
          <w:tcPr>
            <w:tcW w:w="0" w:type="auto"/>
            <w:vAlign w:val="center"/>
            <w:hideMark/>
          </w:tcPr>
          <w:p w14:paraId="1873DB26"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ارتفاع ضغط الدم الخبيث مع أو من دون فشل كلوي حاد</w:t>
            </w:r>
          </w:p>
        </w:tc>
      </w:tr>
      <w:tr w:rsidR="00CB685C" w:rsidRPr="00CB685C" w14:paraId="5764F31E" w14:textId="77777777" w:rsidTr="00E0662A">
        <w:trPr>
          <w:tblCellSpacing w:w="15" w:type="dxa"/>
        </w:trPr>
        <w:tc>
          <w:tcPr>
            <w:tcW w:w="0" w:type="auto"/>
            <w:vAlign w:val="center"/>
            <w:hideMark/>
          </w:tcPr>
          <w:p w14:paraId="4BA3E8C0"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نيتروبروسيد</w:t>
            </w:r>
          </w:p>
        </w:tc>
        <w:tc>
          <w:tcPr>
            <w:tcW w:w="0" w:type="auto"/>
            <w:vAlign w:val="center"/>
            <w:hideMark/>
          </w:tcPr>
          <w:p w14:paraId="6A24F6F2"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لابيتالول أو نيكارديبين</w:t>
            </w:r>
          </w:p>
        </w:tc>
        <w:tc>
          <w:tcPr>
            <w:tcW w:w="0" w:type="auto"/>
            <w:vAlign w:val="center"/>
            <w:hideMark/>
          </w:tcPr>
          <w:p w14:paraId="2722A304"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 xml:space="preserve">خفض متوسط الضغط فوراً بنسبة </w:t>
            </w:r>
            <w:r w:rsidRPr="00CB685C">
              <w:rPr>
                <w:rFonts w:ascii="+AB Nawwar" w:hAnsi="+AB Nawwar" w:cs="+AB Nawwar"/>
                <w:sz w:val="28"/>
                <w:szCs w:val="28"/>
              </w:rPr>
              <w:t>20–25%</w:t>
            </w:r>
          </w:p>
        </w:tc>
        <w:tc>
          <w:tcPr>
            <w:tcW w:w="0" w:type="auto"/>
            <w:vAlign w:val="center"/>
            <w:hideMark/>
          </w:tcPr>
          <w:p w14:paraId="76D4A904"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اعتلال الدماغ الناتج عن ارتفاع ضغط الدم</w:t>
            </w:r>
          </w:p>
        </w:tc>
      </w:tr>
      <w:tr w:rsidR="00CB685C" w:rsidRPr="00CB685C" w14:paraId="282E8E2F" w14:textId="77777777" w:rsidTr="00E0662A">
        <w:trPr>
          <w:tblCellSpacing w:w="15" w:type="dxa"/>
        </w:trPr>
        <w:tc>
          <w:tcPr>
            <w:tcW w:w="0" w:type="auto"/>
            <w:vAlign w:val="center"/>
            <w:hideMark/>
          </w:tcPr>
          <w:p w14:paraId="56CF98B1"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أورابيديل</w:t>
            </w:r>
          </w:p>
        </w:tc>
        <w:tc>
          <w:tcPr>
            <w:tcW w:w="0" w:type="auto"/>
            <w:vAlign w:val="center"/>
            <w:hideMark/>
          </w:tcPr>
          <w:p w14:paraId="7521B37C"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نيتروغليسيرين أو لابيتالول</w:t>
            </w:r>
          </w:p>
        </w:tc>
        <w:tc>
          <w:tcPr>
            <w:tcW w:w="0" w:type="auto"/>
            <w:vAlign w:val="center"/>
            <w:hideMark/>
          </w:tcPr>
          <w:p w14:paraId="28EF9F8C"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خفض الضغط الانقباضي فوراً إلى أقل من 140 مم زئبق</w:t>
            </w:r>
          </w:p>
        </w:tc>
        <w:tc>
          <w:tcPr>
            <w:tcW w:w="0" w:type="auto"/>
            <w:vAlign w:val="center"/>
            <w:hideMark/>
          </w:tcPr>
          <w:p w14:paraId="0BC88F4F"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حدث تاجي حاد</w:t>
            </w:r>
          </w:p>
        </w:tc>
      </w:tr>
      <w:tr w:rsidR="00CB685C" w:rsidRPr="00CB685C" w14:paraId="6896376D" w14:textId="77777777" w:rsidTr="00E0662A">
        <w:trPr>
          <w:tblCellSpacing w:w="15" w:type="dxa"/>
        </w:trPr>
        <w:tc>
          <w:tcPr>
            <w:tcW w:w="0" w:type="auto"/>
            <w:vAlign w:val="center"/>
            <w:hideMark/>
          </w:tcPr>
          <w:p w14:paraId="1D117BAA"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أورابيديل مع مدر بولي عروي</w:t>
            </w:r>
          </w:p>
        </w:tc>
        <w:tc>
          <w:tcPr>
            <w:tcW w:w="0" w:type="auto"/>
            <w:vAlign w:val="center"/>
            <w:hideMark/>
          </w:tcPr>
          <w:p w14:paraId="42C1F363"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نيتروبروسيد أو نيتروغليسيرين مع مدر بولي عروي</w:t>
            </w:r>
          </w:p>
        </w:tc>
        <w:tc>
          <w:tcPr>
            <w:tcW w:w="0" w:type="auto"/>
            <w:vAlign w:val="center"/>
            <w:hideMark/>
          </w:tcPr>
          <w:p w14:paraId="25A2F382"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خفض الضغط الانقباضي فوراً إلى أقل من 140 مم زئبق</w:t>
            </w:r>
          </w:p>
        </w:tc>
        <w:tc>
          <w:tcPr>
            <w:tcW w:w="0" w:type="auto"/>
            <w:vAlign w:val="center"/>
            <w:hideMark/>
          </w:tcPr>
          <w:p w14:paraId="77649432"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وذمة رئوية قلبية المنشأ حادة</w:t>
            </w:r>
          </w:p>
        </w:tc>
      </w:tr>
      <w:tr w:rsidR="00CB685C" w:rsidRPr="00CB685C" w14:paraId="3F671D35" w14:textId="77777777" w:rsidTr="00E0662A">
        <w:trPr>
          <w:tblCellSpacing w:w="15" w:type="dxa"/>
        </w:trPr>
        <w:tc>
          <w:tcPr>
            <w:tcW w:w="0" w:type="auto"/>
            <w:vAlign w:val="center"/>
            <w:hideMark/>
          </w:tcPr>
          <w:p w14:paraId="65D934C6"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لابيتالول أو أورابيديل أو ميتوبرولول</w:t>
            </w:r>
          </w:p>
        </w:tc>
        <w:tc>
          <w:tcPr>
            <w:tcW w:w="0" w:type="auto"/>
            <w:vAlign w:val="center"/>
            <w:hideMark/>
          </w:tcPr>
          <w:p w14:paraId="58CA8A83"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إسمولول مع نيتروبروسيد أو نيتروغليسيرين أو نيكارديبين</w:t>
            </w:r>
          </w:p>
        </w:tc>
        <w:tc>
          <w:tcPr>
            <w:tcW w:w="0" w:type="auto"/>
            <w:vAlign w:val="center"/>
            <w:hideMark/>
          </w:tcPr>
          <w:p w14:paraId="6D30A3B8"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خفض الضغط الانقباضي فوراً إلى أقل من 120 مم زئبق، ومعدل القلب إلى أقل من 60 ضربة/دقيقة</w:t>
            </w:r>
          </w:p>
        </w:tc>
        <w:tc>
          <w:tcPr>
            <w:tcW w:w="0" w:type="auto"/>
            <w:vAlign w:val="center"/>
            <w:hideMark/>
          </w:tcPr>
          <w:p w14:paraId="7E05CBC4"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تسلخ أبهر حاد</w:t>
            </w:r>
          </w:p>
        </w:tc>
      </w:tr>
      <w:tr w:rsidR="00CB685C" w:rsidRPr="00CB685C" w14:paraId="39A0F7EF" w14:textId="77777777" w:rsidTr="00E0662A">
        <w:trPr>
          <w:tblCellSpacing w:w="15" w:type="dxa"/>
        </w:trPr>
        <w:tc>
          <w:tcPr>
            <w:tcW w:w="0" w:type="auto"/>
            <w:vAlign w:val="center"/>
            <w:hideMark/>
          </w:tcPr>
          <w:p w14:paraId="71D84F98"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النظر في الولادة</w:t>
            </w:r>
          </w:p>
        </w:tc>
        <w:tc>
          <w:tcPr>
            <w:tcW w:w="0" w:type="auto"/>
            <w:vAlign w:val="center"/>
            <w:hideMark/>
          </w:tcPr>
          <w:p w14:paraId="12727627"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لابيتالول أو نيكارديبين مع كبريتات المغنيسيوم</w:t>
            </w:r>
          </w:p>
        </w:tc>
        <w:tc>
          <w:tcPr>
            <w:tcW w:w="0" w:type="auto"/>
            <w:vAlign w:val="center"/>
            <w:hideMark/>
          </w:tcPr>
          <w:p w14:paraId="4C2B7A6D"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خفض الضغط الانقباضي فوراً إلى أقل من 160 مم زئبق، والانبساطي إلى أقل من 105 مم زئبق</w:t>
            </w:r>
          </w:p>
        </w:tc>
        <w:tc>
          <w:tcPr>
            <w:tcW w:w="0" w:type="auto"/>
            <w:vAlign w:val="center"/>
            <w:hideMark/>
          </w:tcPr>
          <w:p w14:paraId="3B0493A5" w14:textId="77777777" w:rsidR="00CB685C" w:rsidRPr="00CB685C" w:rsidRDefault="00CB685C" w:rsidP="00CB685C">
            <w:pPr>
              <w:bidi/>
              <w:spacing w:after="0" w:line="276" w:lineRule="auto"/>
              <w:jc w:val="mediumKashida"/>
              <w:rPr>
                <w:rFonts w:ascii="+AB Nawwar" w:hAnsi="+AB Nawwar" w:cs="+AB Nawwar"/>
                <w:sz w:val="28"/>
                <w:szCs w:val="28"/>
              </w:rPr>
            </w:pPr>
            <w:r w:rsidRPr="00CB685C">
              <w:rPr>
                <w:rFonts w:ascii="+AB Nawwar" w:hAnsi="+AB Nawwar" w:cs="+AB Nawwar"/>
                <w:sz w:val="28"/>
                <w:szCs w:val="28"/>
                <w:rtl/>
              </w:rPr>
              <w:t xml:space="preserve">الإرجاج ومقدمات الارتعاج الشديدة/متلازمة </w:t>
            </w:r>
            <w:r w:rsidRPr="00CB685C">
              <w:rPr>
                <w:rFonts w:ascii="+AB Nawwar" w:hAnsi="+AB Nawwar" w:cs="+AB Nawwar"/>
                <w:sz w:val="28"/>
                <w:szCs w:val="28"/>
              </w:rPr>
              <w:t>HELLP</w:t>
            </w:r>
          </w:p>
        </w:tc>
      </w:tr>
    </w:tbl>
    <w:p w14:paraId="60502BEF" w14:textId="77777777" w:rsidR="00CB685C" w:rsidRPr="00CB685C" w:rsidRDefault="00CB685C" w:rsidP="00CB685C">
      <w:pPr>
        <w:bidi/>
        <w:spacing w:after="0" w:line="276" w:lineRule="auto"/>
        <w:jc w:val="mediumKashida"/>
        <w:rPr>
          <w:rFonts w:ascii="+AB Nawwar" w:hAnsi="+AB Nawwar" w:cs="+AB Nawwar"/>
          <w:sz w:val="28"/>
          <w:szCs w:val="28"/>
          <w:rtl/>
        </w:rPr>
      </w:pPr>
    </w:p>
    <w:p w14:paraId="32FC665A" w14:textId="77777777" w:rsidR="00503EF5" w:rsidRDefault="00503EF5" w:rsidP="00CB685C">
      <w:pPr>
        <w:bidi/>
        <w:spacing w:after="0" w:line="276" w:lineRule="auto"/>
        <w:jc w:val="mediumKashida"/>
        <w:rPr>
          <w:rFonts w:ascii="+AB Nawwar" w:hAnsi="+AB Nawwar" w:cs="+AB Nawwar"/>
          <w:sz w:val="28"/>
          <w:szCs w:val="28"/>
          <w:rtl/>
        </w:rPr>
      </w:pPr>
    </w:p>
    <w:p w14:paraId="2FD6A57A" w14:textId="77777777" w:rsidR="00E0662A" w:rsidRDefault="00E0662A" w:rsidP="00E0662A">
      <w:pPr>
        <w:bidi/>
        <w:spacing w:after="0" w:line="276" w:lineRule="auto"/>
        <w:jc w:val="mediumKashida"/>
        <w:rPr>
          <w:rFonts w:ascii="+AB Nawwar" w:hAnsi="+AB Nawwar" w:cs="+AB Nawwar"/>
          <w:sz w:val="28"/>
          <w:szCs w:val="28"/>
          <w:rtl/>
        </w:rPr>
      </w:pPr>
    </w:p>
    <w:p w14:paraId="372E58E9" w14:textId="77777777" w:rsidR="00E0662A" w:rsidRPr="00C66C52" w:rsidRDefault="00E0662A" w:rsidP="00E0662A">
      <w:pPr>
        <w:bidi/>
        <w:spacing w:after="0" w:line="276" w:lineRule="auto"/>
        <w:jc w:val="mediumKashida"/>
        <w:rPr>
          <w:rFonts w:ascii="+AB Nawwar" w:hAnsi="+AB Nawwar" w:cs="+AB Nawwar"/>
          <w:sz w:val="28"/>
          <w:szCs w:val="28"/>
        </w:rPr>
      </w:pPr>
    </w:p>
    <w:p w14:paraId="52AF12F2" w14:textId="031985FD" w:rsidR="00503EF5" w:rsidRPr="00C66C52" w:rsidRDefault="00503EF5" w:rsidP="00CB685C">
      <w:pPr>
        <w:bidi/>
        <w:spacing w:after="0" w:line="276" w:lineRule="auto"/>
        <w:jc w:val="mediumKashida"/>
        <w:rPr>
          <w:rFonts w:ascii="+AB Nawwar" w:hAnsi="+AB Nawwar" w:cs="+AB Nawwar"/>
          <w:sz w:val="28"/>
          <w:szCs w:val="28"/>
        </w:rPr>
      </w:pPr>
    </w:p>
    <w:p w14:paraId="2176AD26"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المرضى الذين يعانون من حالات ارتفاع ضغط الدم </w:t>
      </w:r>
      <w:proofErr w:type="spellStart"/>
      <w:r w:rsidRPr="00C66C52">
        <w:rPr>
          <w:rFonts w:ascii="+AB Nawwar" w:hAnsi="+AB Nawwar" w:cs="+AB Nawwar"/>
          <w:sz w:val="28"/>
          <w:szCs w:val="28"/>
        </w:rPr>
        <w:t>urgencies</w:t>
      </w:r>
      <w:proofErr w:type="spellEnd"/>
      <w:r w:rsidRPr="00C66C52">
        <w:rPr>
          <w:rFonts w:ascii="+AB Nawwar" w:hAnsi="+AB Nawwar" w:cs="+AB Nawwar"/>
          <w:sz w:val="28"/>
          <w:szCs w:val="28"/>
          <w:rtl/>
        </w:rPr>
        <w:t xml:space="preserve"> لا يحتاجون عادة إلى دخول المستشفى. ومع ذلك، فهي تتطلب خفض ضغط الدم، والذي يمكن الحصول عليه عن طريق تناول الأدوية الخافضة للضغط عن طريق الفم، بهدف خفض ضغط الدم تدريجياً على مدار 24-48 ساعة. قد يشمل العلاج عن طريق الفم إعادة أو تكثيف العلاج السابق أو بدء علاج جديد. يتم اقتراح </w:t>
      </w:r>
      <w:r w:rsidRPr="00C66C52">
        <w:rPr>
          <w:rFonts w:ascii="+AB Nawwar" w:hAnsi="+AB Nawwar" w:cs="+AB Nawwar"/>
          <w:sz w:val="28"/>
          <w:szCs w:val="28"/>
        </w:rPr>
        <w:t>DHP-CCBs</w:t>
      </w:r>
      <w:r w:rsidRPr="00C66C52">
        <w:rPr>
          <w:rFonts w:ascii="+AB Nawwar" w:hAnsi="+AB Nawwar" w:cs="+AB Nawwar"/>
          <w:sz w:val="28"/>
          <w:szCs w:val="28"/>
          <w:rtl/>
        </w:rPr>
        <w:t xml:space="preserve"> كخيار أول في المريض غير المعالج حيث أن لديهم موانع قليلة أو معدومة ولا تتداخل مع الإجراءات التشخيصية لارتفاع ضغط الدم الثانوي. يجب تجنب إعطاء النيفيديبين </w:t>
      </w:r>
      <w:proofErr w:type="spellStart"/>
      <w:r w:rsidRPr="00C66C52">
        <w:rPr>
          <w:rFonts w:ascii="+AB Nawwar" w:hAnsi="+AB Nawwar" w:cs="+AB Nawwar"/>
          <w:sz w:val="28"/>
          <w:szCs w:val="28"/>
        </w:rPr>
        <w:t>nifedipine</w:t>
      </w:r>
      <w:proofErr w:type="spellEnd"/>
      <w:r w:rsidRPr="00C66C52">
        <w:rPr>
          <w:rFonts w:ascii="+AB Nawwar" w:hAnsi="+AB Nawwar" w:cs="+AB Nawwar"/>
          <w:sz w:val="28"/>
          <w:szCs w:val="28"/>
          <w:rtl/>
        </w:rPr>
        <w:t xml:space="preserve"> تحت اللسان وسريع المفعول لأن درجة انخفاض ضغط الدم لا يمكن توقعها وقد تكون في كثير من الأحيان سريعة جداً وأكبر من المرغوب فيه.</w:t>
      </w:r>
    </w:p>
    <w:p w14:paraId="60DD5F79"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عادةً ما تكون المراقبة السريرية في وحدة مراقبة الإقامة القصيرة مناسبة قبل الخروج من المستشفى. نظراً لأن ضغط الدم قد يظل مرتفعاً بعد الخروج من قسم الطوارئ، يحتاج هؤلاء المرضى إلى قياسات ضغط الدم اللاحقة في العيادة وخارجها. لقد تحسنت معدلات بقاء </w:t>
      </w:r>
      <w:proofErr w:type="spellStart"/>
      <w:r w:rsidRPr="00C66C52">
        <w:rPr>
          <w:rFonts w:ascii="+AB Nawwar" w:hAnsi="+AB Nawwar" w:cs="+AB Nawwar"/>
          <w:sz w:val="28"/>
          <w:szCs w:val="28"/>
        </w:rPr>
        <w:lastRenderedPageBreak/>
        <w:t>survival</w:t>
      </w:r>
      <w:proofErr w:type="spellEnd"/>
      <w:r w:rsidRPr="00C66C52">
        <w:rPr>
          <w:rFonts w:ascii="+AB Nawwar" w:hAnsi="+AB Nawwar" w:cs="+AB Nawwar"/>
          <w:sz w:val="28"/>
          <w:szCs w:val="28"/>
          <w:rtl/>
        </w:rPr>
        <w:t xml:space="preserve"> المرضى الذين يعانون من حالات ارتفاع ضغط الدم الطارئة بشكل ملحوظ على مدى العقود الماضية، لكن هؤلاء المرضى يظلون معرضين لخطر كبير. بعد الخروج من المستشفى، عندما يصل ضغط الدم إلى مستوى آمن ومستقر في العلاج عن طريق الفم، يوصى بإجراء </w:t>
      </w:r>
      <w:r w:rsidRPr="00C66C52">
        <w:rPr>
          <w:rFonts w:ascii="+AB Nawwar" w:hAnsi="+AB Nawwar" w:cs="+AB Nawwar"/>
          <w:sz w:val="28"/>
          <w:szCs w:val="28"/>
        </w:rPr>
        <w:t>FU</w:t>
      </w:r>
      <w:r w:rsidRPr="00C66C52">
        <w:rPr>
          <w:rFonts w:ascii="+AB Nawwar" w:hAnsi="+AB Nawwar" w:cs="+AB Nawwar"/>
          <w:sz w:val="28"/>
          <w:szCs w:val="28"/>
          <w:rtl/>
        </w:rPr>
        <w:t xml:space="preserve"> مبكراً ثم زيارات طبية متكررة (شهرية على الأقل) والإشراف من قبل أخصائي ارتفاع ضغط الدم أو مركز متخصص لارتفاع ضغط الدم.</w:t>
      </w:r>
    </w:p>
    <w:p w14:paraId="27A4888A" w14:textId="77777777" w:rsidR="00503EF5" w:rsidRPr="00C66C52" w:rsidRDefault="00503EF5" w:rsidP="00CB685C">
      <w:pPr>
        <w:bidi/>
        <w:spacing w:after="0" w:line="276" w:lineRule="auto"/>
        <w:jc w:val="mediumKashida"/>
        <w:rPr>
          <w:rFonts w:ascii="+AB Nawwar" w:hAnsi="+AB Nawwar" w:cs="+AB Nawwar"/>
          <w:sz w:val="28"/>
          <w:szCs w:val="28"/>
        </w:rPr>
      </w:pPr>
    </w:p>
    <w:p w14:paraId="6E16D8F7" w14:textId="77777777" w:rsidR="00503EF5" w:rsidRPr="00C66C52" w:rsidRDefault="00503EF5" w:rsidP="00CB685C">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ضغط الدم في قسم الطوارئ</w:t>
      </w:r>
    </w:p>
    <w:p w14:paraId="7D8E7CD4"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عادةً لا تتبع قياسات ضغط الدم في قسم الطوارئ الإرشادات، وبالتالي قد تكون غير دقيقة. يعد ارتفاع ضغط الدم أمراً شائعاً، وقد تم الإبلاغ عن قيم ارتفاع ضغط الدم لدى 48% من جميع المرضى المحالين إلى قسم الطوارئ خلال فترة سنة واحدة.</w:t>
      </w:r>
    </w:p>
    <w:p w14:paraId="5E57D004"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ومع ذلك، فإن الأهمية السريرية لارتفاع ضغط الدم في قسم الطوارئ ليست واضحة تماماً، والأدلة المتاحة ليست قاطعة. في العديد من المرضى، يتم عودة الارتفاع الملحوظ في ضغط الدم إلى وضعه الطبيعي عند تخفيف الألم والضيق والقلق، وبالتالي ينشأ من رد فعل تنبيهي.</w:t>
      </w:r>
    </w:p>
    <w:p w14:paraId="69D42528"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ومع ذلك، لم تظهر بعض الدراسات وجود علاقة وثيقة بين ارتفاع ضغط الدم والألم أو التوتر أو القلق في قسم الطوارئ. بالإضافة إلى ذلك، على الرغم من أنه لا يُنصح بشكل عام بقيم ضغط الدم في قسم الطوارئ لتقييم الخطورة القلبية الوعائية ، إلا أنّ بعض التقارير تشير إلى وجود ارتباط بين النتائج القلبية و قيم ضغط الدم التي تم قياسها في واسطة قسم الطوارئ.</w:t>
      </w:r>
    </w:p>
    <w:p w14:paraId="0AA26B77"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جميع المرضى، يجب البحث عن تناول سابق لبعض الأدوية (مثل مضادات الالتهاب غير الستيروئيدية) أو غيرها من المواد التي قد تسبب ارتفاع ضغط الدم أو تعاكس انخفاض ضغط الدم عن طريق العلاج. إذا لم يكن ضغط الدم مرتفعاً بشدة ولا تشير الصورة السريرية إلى حالة ارتفاع ضغط الدم اسعافية ، فيجب إجراء قياسات ضغط الدم غير المراقبة </w:t>
      </w:r>
      <w:proofErr w:type="spellStart"/>
      <w:r w:rsidRPr="00C66C52">
        <w:rPr>
          <w:rFonts w:ascii="+AB Nawwar" w:hAnsi="+AB Nawwar" w:cs="+AB Nawwar"/>
          <w:sz w:val="28"/>
          <w:szCs w:val="28"/>
        </w:rPr>
        <w:t>unattended</w:t>
      </w:r>
      <w:proofErr w:type="spellEnd"/>
      <w:r w:rsidRPr="00C66C52">
        <w:rPr>
          <w:rFonts w:ascii="+AB Nawwar" w:hAnsi="+AB Nawwar" w:cs="+AB Nawwar"/>
          <w:sz w:val="28"/>
          <w:szCs w:val="28"/>
          <w:rtl/>
        </w:rPr>
        <w:t xml:space="preserve"> مع المريض وحده في غرفة هادئة منفصلة لأن قياسات ضغط الدم غير المراقبة عادة لا تكون مصحوبة برد فعل تنبيهي. يجب تكرار قياسات ضغط الدم على فترات لمدة ساعة على الأقل. تتوفر أدلة على أن 30% من المرضى ينخفض ضغط الدم لديهم إلى الدرجة الثانية أو قيم أقل خلال 30 دقيقة.</w:t>
      </w:r>
    </w:p>
    <w:p w14:paraId="14017858" w14:textId="77777777" w:rsidR="00503EF5" w:rsidRPr="00C66C52" w:rsidRDefault="00503EF5" w:rsidP="00CB685C">
      <w:pPr>
        <w:bidi/>
        <w:spacing w:after="0" w:line="276" w:lineRule="auto"/>
        <w:jc w:val="mediumKashida"/>
        <w:rPr>
          <w:rFonts w:ascii="+AB Nawwar" w:hAnsi="+AB Nawwar" w:cs="+AB Nawwar"/>
          <w:sz w:val="28"/>
          <w:szCs w:val="28"/>
        </w:rPr>
      </w:pPr>
    </w:p>
    <w:p w14:paraId="17727FB8" w14:textId="77777777" w:rsidR="00503EF5" w:rsidRPr="00C66C52" w:rsidRDefault="00503EF5" w:rsidP="00CB685C">
      <w:pPr>
        <w:bidi/>
        <w:spacing w:after="0" w:line="276" w:lineRule="auto"/>
        <w:jc w:val="mediumKashida"/>
        <w:rPr>
          <w:rFonts w:ascii="+AB Nawwar" w:hAnsi="+AB Nawwar" w:cs="+AB Nawwar"/>
          <w:b/>
          <w:bCs/>
          <w:sz w:val="28"/>
          <w:szCs w:val="28"/>
          <w:rtl/>
        </w:rPr>
      </w:pPr>
      <w:r w:rsidRPr="00C66C52">
        <w:rPr>
          <w:rFonts w:ascii="+AB Nawwar" w:hAnsi="+AB Nawwar" w:cs="+AB Nawwar"/>
          <w:b/>
          <w:bCs/>
          <w:sz w:val="28"/>
          <w:szCs w:val="28"/>
          <w:rtl/>
        </w:rPr>
        <w:t>ارتفاع ضغط الدم في الفترة المحيطة بالجراحة و علاجه</w:t>
      </w:r>
    </w:p>
    <w:p w14:paraId="1E9A6EB7"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نظراً لارتفاع معدل انتشاره وارتباطه بالعمر، يعد ارتفاع ضغط الدم حالة شائعة جداً لدى المرضى الذين يخضعون لعملية جراحية، وفي العديد من الحالات لا يكون المريض على علم بحالة ارتفاع ضغط الدم. ارتفاع ضغط الدم في وقت التدخل الجراحي ليس ارتباطاً بريئاً لأن ارتفاع ضغط الدم الشديد يصاحبه زيادة في حدوث المضاعفات المرتبطة بالجراحة، بما في ذلك النزيف.</w:t>
      </w:r>
    </w:p>
    <w:p w14:paraId="25963727"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وبالتالي، في زيارات ما قبل الجراحة، فإنّ القياسات الدقيقة لضغط الدم في العيادة وتنفيذ الخطوات الأخرى المطلوبة لتصنيف ارتفاع ضغط الدم سريرياً تكون إلزامية. على الرغم من أنه لم تحدد أي دراسة عتبة ضغط الدم التي يستند إليها القرار، يبدو من المناسب اقتراح عدم تجنب أو تأجيل الجراحة في المرضى غير المعالجين الذين يعانون من ارتفاع ضغط الدم من الدرجة الأولى أو في أولئك الذين حقق العلاج لديهم قيم ضغط الدم مضبوطة أو مضبوطة تقريباً.</w:t>
      </w:r>
    </w:p>
    <w:p w14:paraId="0ECE9063"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في المرضى غير المعالجين الذين يعانون من ارتفاع ضغط الدم من الدرجة 2 أو 3 أو في المرضى المعالجين لكن بشكل غير مضبوط و سيئ، يجب تأجيل الجراحة حتى يتم تحقيق السيطرة على ضغط الدم. باستثناء التدخلات الجراحية الطارئة، يجب أن تكون هذه هي القاعدة عندما يكون ضغط الدم الانقباضي أعلى من 180 ملم زئبقي أو انبساطي اكبر من 110 ملم زئبقي. مع مراعاة قياسات ضغط الدم خارج العيادة (</w:t>
      </w:r>
      <w:r w:rsidRPr="00C66C52">
        <w:rPr>
          <w:rFonts w:ascii="+AB Nawwar" w:hAnsi="+AB Nawwar" w:cs="+AB Nawwar"/>
          <w:sz w:val="28"/>
          <w:szCs w:val="28"/>
        </w:rPr>
        <w:t>ABPM</w:t>
      </w:r>
      <w:r w:rsidRPr="00C66C52">
        <w:rPr>
          <w:rFonts w:ascii="+AB Nawwar" w:hAnsi="+AB Nawwar" w:cs="+AB Nawwar"/>
          <w:sz w:val="28"/>
          <w:szCs w:val="28"/>
          <w:rtl/>
        </w:rPr>
        <w:t xml:space="preserve"> أو </w:t>
      </w:r>
      <w:r w:rsidRPr="00C66C52">
        <w:rPr>
          <w:rFonts w:ascii="+AB Nawwar" w:hAnsi="+AB Nawwar" w:cs="+AB Nawwar"/>
          <w:sz w:val="28"/>
          <w:szCs w:val="28"/>
        </w:rPr>
        <w:t>HBPM</w:t>
      </w:r>
      <w:r w:rsidRPr="00C66C52">
        <w:rPr>
          <w:rFonts w:ascii="+AB Nawwar" w:hAnsi="+AB Nawwar" w:cs="+AB Nawwar"/>
          <w:sz w:val="28"/>
          <w:szCs w:val="28"/>
          <w:rtl/>
        </w:rPr>
        <w:t xml:space="preserve">) لأن تأثير المعطف الأبيض </w:t>
      </w:r>
      <w:r w:rsidRPr="00C66C52">
        <w:rPr>
          <w:rFonts w:ascii="+AB Nawwar" w:hAnsi="+AB Nawwar" w:cs="+AB Nawwar"/>
          <w:sz w:val="28"/>
          <w:szCs w:val="28"/>
        </w:rPr>
        <w:t>WCH</w:t>
      </w:r>
      <w:r w:rsidRPr="00C66C52">
        <w:rPr>
          <w:rFonts w:ascii="+AB Nawwar" w:hAnsi="+AB Nawwar" w:cs="+AB Nawwar"/>
          <w:sz w:val="28"/>
          <w:szCs w:val="28"/>
          <w:rtl/>
        </w:rPr>
        <w:t xml:space="preserve"> قد يكون متكرراً في المرضى الذين يخضعون لعملية جراحية مجدولة.</w:t>
      </w:r>
    </w:p>
    <w:p w14:paraId="2585E8CE"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البيانات ليست موحدة تماماً، ولكن يبدو من المناسب عدم التوقف عن تناول الأدوية الخافضة للضغط خلال الأيام التي تسبق الجراحة، على الرغم من أنه تمت الدعوة إلى التوقف خوفاً من عدم انتظام ضربات القلب، واستنزاف الحجم، وتغيرات الشوارد، وبطء القلب، وانخفاض ضغط الدم أثناء العملية وبعد العملية الجراحية. يجب أيضاً تجنب التوقف في حالة علاج </w:t>
      </w:r>
      <w:r w:rsidRPr="00C66C52">
        <w:rPr>
          <w:rFonts w:ascii="+AB Nawwar" w:hAnsi="+AB Nawwar" w:cs="+AB Nawwar"/>
          <w:sz w:val="28"/>
          <w:szCs w:val="28"/>
        </w:rPr>
        <w:t>BB</w:t>
      </w:r>
      <w:r w:rsidRPr="00C66C52">
        <w:rPr>
          <w:rFonts w:ascii="+AB Nawwar" w:hAnsi="+AB Nawwar" w:cs="+AB Nawwar"/>
          <w:sz w:val="28"/>
          <w:szCs w:val="28"/>
          <w:rtl/>
        </w:rPr>
        <w:t xml:space="preserve"> الذي يسبق جراحة غير قلبية أو جراحة قلبية، حيث تم الإبلاغ عن أن علاج </w:t>
      </w:r>
      <w:r w:rsidRPr="00C66C52">
        <w:rPr>
          <w:rFonts w:ascii="+AB Nawwar" w:hAnsi="+AB Nawwar" w:cs="+AB Nawwar"/>
          <w:sz w:val="28"/>
          <w:szCs w:val="28"/>
        </w:rPr>
        <w:t>BB</w:t>
      </w:r>
      <w:r w:rsidRPr="00C66C52">
        <w:rPr>
          <w:rFonts w:ascii="+AB Nawwar" w:hAnsi="+AB Nawwar" w:cs="+AB Nawwar"/>
          <w:sz w:val="28"/>
          <w:szCs w:val="28"/>
          <w:rtl/>
        </w:rPr>
        <w:t xml:space="preserve"> الموجود مسبقاً له تأثير وقائي، في حين أن التوقف المفاجئ قد يؤدي إلى ارتداد معدل ضربات القلب وربما ارتفاع ضغط الدم.</w:t>
      </w:r>
    </w:p>
    <w:p w14:paraId="1D40DB37" w14:textId="77777777" w:rsidR="00503EF5" w:rsidRPr="00C66C52" w:rsidRDefault="00503EF5" w:rsidP="00CB685C">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إذا تم إيقاف </w:t>
      </w:r>
      <w:r w:rsidRPr="00C66C52">
        <w:rPr>
          <w:rFonts w:ascii="+AB Nawwar" w:hAnsi="+AB Nawwar" w:cs="+AB Nawwar"/>
          <w:sz w:val="28"/>
          <w:szCs w:val="28"/>
        </w:rPr>
        <w:t>BBs</w:t>
      </w:r>
      <w:r w:rsidRPr="00C66C52">
        <w:rPr>
          <w:rFonts w:ascii="+AB Nawwar" w:hAnsi="+AB Nawwar" w:cs="+AB Nawwar"/>
          <w:sz w:val="28"/>
          <w:szCs w:val="28"/>
          <w:rtl/>
        </w:rPr>
        <w:t xml:space="preserve"> لأي سبب من الأسباب، فإن الكلونيدين عبر الجلد</w:t>
      </w:r>
      <w:r w:rsidRPr="00C66C52">
        <w:rPr>
          <w:rFonts w:ascii="+AB Nawwar" w:hAnsi="+AB Nawwar" w:cs="+AB Nawwar"/>
          <w:sz w:val="28"/>
          <w:szCs w:val="28"/>
        </w:rPr>
        <w:t xml:space="preserve">transdermal </w:t>
      </w:r>
      <w:proofErr w:type="spellStart"/>
      <w:r w:rsidRPr="00C66C52">
        <w:rPr>
          <w:rFonts w:ascii="+AB Nawwar" w:hAnsi="+AB Nawwar" w:cs="+AB Nawwar"/>
          <w:sz w:val="28"/>
          <w:szCs w:val="28"/>
        </w:rPr>
        <w:t>clonidine</w:t>
      </w:r>
      <w:proofErr w:type="spellEnd"/>
      <w:r w:rsidRPr="00C66C52">
        <w:rPr>
          <w:rFonts w:ascii="+AB Nawwar" w:hAnsi="+AB Nawwar" w:cs="+AB Nawwar"/>
          <w:sz w:val="28"/>
          <w:szCs w:val="28"/>
        </w:rPr>
        <w:t xml:space="preserve"> </w:t>
      </w:r>
      <w:r w:rsidRPr="00C66C52">
        <w:rPr>
          <w:rFonts w:ascii="+AB Nawwar" w:hAnsi="+AB Nawwar" w:cs="+AB Nawwar"/>
          <w:sz w:val="28"/>
          <w:szCs w:val="28"/>
          <w:rtl/>
        </w:rPr>
        <w:t xml:space="preserve"> قد يخفف من ظاهرة الارتداد. إن استمرار العلاج الخافض لضغط الدم خلال الفترة المحيطة بالجراحة قد يقلل أيضاً من تقلبات ضغط الدم، حيث وجد أنها مرتبطة بالمضاعفات المرتبطة بالجراحة في المرضى الذين يخضعون لجراحة في البطن.</w:t>
      </w:r>
    </w:p>
    <w:p w14:paraId="5C267F2E"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قد يحدث ارتفاع ضغط الدم أثناء تحريض التخدير أو مناورات التنبيب أو العملية أو في فترة ما بعد التخدير المبكرة. يؤدي تحريض التخدير إلى توليد الألم والإجهاد، ويثير التنبيب ردود أفعال قد تؤدي إلى تنشيط الجهاز الودي للقلب والأوعية الدموية، مما يزيد من احتمالات ارتفاع ضغط الدم ومعدل ضربات القلب بالإضافة إلى التقلبات المفرطة في ضغط الدم وعدم انتظام ضربات القلب.</w:t>
      </w:r>
    </w:p>
    <w:p w14:paraId="4BE9FC60"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يمكن أيضاً تحريض ارتفاع ضغط الدم من خلال تطبيق الأدوية المقبضة للأوعية أثناء الجراحة. من ناحية أخرى، قد يؤدي تحريض التخدير و استمراره أيضاً إلى توسع الأوعية الدموية واستنزاف الحجم وانخفاض ضغط الدم، مع فقدان الدم كعامل مساعد. قد يكون لكل من انخفاض ضغط الدم وارتفاع ضغط الدم أثناء العملية تأثير سلبي على المضاعفات المحيطة بالجراحة، وأيضاص بسبب ضعف التنظيم الذاتي </w:t>
      </w:r>
      <w:proofErr w:type="spellStart"/>
      <w:r w:rsidRPr="00C66C52">
        <w:rPr>
          <w:rFonts w:ascii="+AB Nawwar" w:hAnsi="+AB Nawwar" w:cs="+AB Nawwar"/>
          <w:sz w:val="28"/>
          <w:szCs w:val="28"/>
        </w:rPr>
        <w:t>autoregulation</w:t>
      </w:r>
      <w:proofErr w:type="spellEnd"/>
      <w:r w:rsidRPr="00C66C52">
        <w:rPr>
          <w:rFonts w:ascii="+AB Nawwar" w:hAnsi="+AB Nawwar" w:cs="+AB Nawwar"/>
          <w:sz w:val="28"/>
          <w:szCs w:val="28"/>
          <w:rtl/>
        </w:rPr>
        <w:t xml:space="preserve"> لتدفق الدم، خاصة في المرضى المسنين.</w:t>
      </w:r>
    </w:p>
    <w:p w14:paraId="6A83C198" w14:textId="77777777" w:rsidR="00503EF5" w:rsidRPr="00C66C52" w:rsidRDefault="00503EF5" w:rsidP="00CB685C">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لا يوجد إجماع على العتبات </w:t>
      </w:r>
      <w:proofErr w:type="spellStart"/>
      <w:r w:rsidRPr="00C66C52">
        <w:rPr>
          <w:rFonts w:ascii="+AB Nawwar" w:hAnsi="+AB Nawwar" w:cs="+AB Nawwar"/>
          <w:sz w:val="28"/>
          <w:szCs w:val="28"/>
        </w:rPr>
        <w:t>thresholds</w:t>
      </w:r>
      <w:proofErr w:type="spellEnd"/>
      <w:r w:rsidRPr="00C66C52">
        <w:rPr>
          <w:rFonts w:ascii="+AB Nawwar" w:hAnsi="+AB Nawwar" w:cs="+AB Nawwar"/>
          <w:sz w:val="28"/>
          <w:szCs w:val="28"/>
          <w:rtl/>
        </w:rPr>
        <w:t xml:space="preserve"> والأهداف لتوجيه علاج ضغط الدم أثناء العملية. و كما ذكر أعلاه، طوال الفترة المحيطة بالجراحة، يجب أن يركز علاج ضغط الدم على الحفاظ على ضغط الدم ضمن نطاق الأمان، وتجنب التقلبات الكبيرة في ضغط الدم، وبشكل عام متابعة استقرار الدورة الدموية.</w:t>
      </w:r>
    </w:p>
    <w:p w14:paraId="167C1C9D" w14:textId="09CA560B" w:rsidR="00B82AAC" w:rsidRPr="00503EF5" w:rsidRDefault="00503EF5" w:rsidP="00CB685C">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خلال فترة ما بعد الجراحة، قد يكون ارتفاع ضغط الدم موجوداً خلال أول ساعتين ويمكن أن يختفي عادة خلال ساعات قليلة بعد استئناف العلاج الخافض للضغط. يمكن إعادة الـ </w:t>
      </w:r>
      <w:r w:rsidRPr="00C66C52">
        <w:rPr>
          <w:rFonts w:ascii="+AB Nawwar" w:hAnsi="+AB Nawwar" w:cs="+AB Nawwar"/>
          <w:sz w:val="28"/>
          <w:szCs w:val="28"/>
        </w:rPr>
        <w:t>BBs</w:t>
      </w:r>
      <w:r w:rsidRPr="00C66C52">
        <w:rPr>
          <w:rFonts w:ascii="+AB Nawwar" w:hAnsi="+AB Nawwar" w:cs="+AB Nawwar"/>
          <w:sz w:val="28"/>
          <w:szCs w:val="28"/>
          <w:rtl/>
        </w:rPr>
        <w:t xml:space="preserve"> عن طريق الفم على الفور. و كذلك يمكن إعادة مدرات البول عن طريق الفم وحاصرات </w:t>
      </w:r>
      <w:r w:rsidRPr="00C66C52">
        <w:rPr>
          <w:rFonts w:ascii="+AB Nawwar" w:hAnsi="+AB Nawwar" w:cs="+AB Nawwar"/>
          <w:sz w:val="28"/>
          <w:szCs w:val="28"/>
        </w:rPr>
        <w:t>RAS</w:t>
      </w:r>
      <w:r w:rsidRPr="00C66C52">
        <w:rPr>
          <w:rFonts w:ascii="+AB Nawwar" w:hAnsi="+AB Nawwar" w:cs="+AB Nawwar"/>
          <w:sz w:val="28"/>
          <w:szCs w:val="28"/>
          <w:rtl/>
        </w:rPr>
        <w:t xml:space="preserve"> خلال 48 ساعة بعد الجراحة، وبعد تقييم مستوى ضغط الدم وحالة السوائل، ووفقاً لنوع التدخل الجراحي (تداخل قلبي أو غير قلبي).</w:t>
      </w:r>
    </w:p>
    <w:sectPr w:rsidR="00B82AAC" w:rsidRPr="00503EF5" w:rsidSect="002969C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 Nawwar">
    <w:altName w:val="Times New Roman"/>
    <w:charset w:val="00"/>
    <w:family w:val="swiss"/>
    <w:pitch w:val="variable"/>
    <w:sig w:usb0="00000000" w:usb1="90000000" w:usb2="00000008" w:usb3="00000000" w:csb0="800000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1F58"/>
    <w:multiLevelType w:val="hybridMultilevel"/>
    <w:tmpl w:val="79F07E14"/>
    <w:lvl w:ilvl="0" w:tplc="E702F744">
      <w:start w:val="1"/>
      <w:numFmt w:val="decimal"/>
      <w:lvlText w:val="%1-"/>
      <w:lvlJc w:val="left"/>
      <w:pPr>
        <w:ind w:left="720" w:hanging="360"/>
      </w:pPr>
      <w:rPr>
        <w:rFonts w:hint="default"/>
      </w:rPr>
    </w:lvl>
    <w:lvl w:ilvl="1" w:tplc="AF70025C" w:tentative="1">
      <w:start w:val="1"/>
      <w:numFmt w:val="lowerLetter"/>
      <w:lvlText w:val="%2."/>
      <w:lvlJc w:val="left"/>
      <w:pPr>
        <w:ind w:left="1440" w:hanging="360"/>
      </w:pPr>
    </w:lvl>
    <w:lvl w:ilvl="2" w:tplc="F3F46868" w:tentative="1">
      <w:start w:val="1"/>
      <w:numFmt w:val="lowerRoman"/>
      <w:lvlText w:val="%3."/>
      <w:lvlJc w:val="right"/>
      <w:pPr>
        <w:ind w:left="2160" w:hanging="180"/>
      </w:pPr>
    </w:lvl>
    <w:lvl w:ilvl="3" w:tplc="F22E9398" w:tentative="1">
      <w:start w:val="1"/>
      <w:numFmt w:val="decimal"/>
      <w:lvlText w:val="%4."/>
      <w:lvlJc w:val="left"/>
      <w:pPr>
        <w:ind w:left="2880" w:hanging="360"/>
      </w:pPr>
    </w:lvl>
    <w:lvl w:ilvl="4" w:tplc="CEC035D4" w:tentative="1">
      <w:start w:val="1"/>
      <w:numFmt w:val="lowerLetter"/>
      <w:lvlText w:val="%5."/>
      <w:lvlJc w:val="left"/>
      <w:pPr>
        <w:ind w:left="3600" w:hanging="360"/>
      </w:pPr>
    </w:lvl>
    <w:lvl w:ilvl="5" w:tplc="6C6AA82C" w:tentative="1">
      <w:start w:val="1"/>
      <w:numFmt w:val="lowerRoman"/>
      <w:lvlText w:val="%6."/>
      <w:lvlJc w:val="right"/>
      <w:pPr>
        <w:ind w:left="4320" w:hanging="180"/>
      </w:pPr>
    </w:lvl>
    <w:lvl w:ilvl="6" w:tplc="199849CE" w:tentative="1">
      <w:start w:val="1"/>
      <w:numFmt w:val="decimal"/>
      <w:lvlText w:val="%7."/>
      <w:lvlJc w:val="left"/>
      <w:pPr>
        <w:ind w:left="5040" w:hanging="360"/>
      </w:pPr>
    </w:lvl>
    <w:lvl w:ilvl="7" w:tplc="E9A628CC" w:tentative="1">
      <w:start w:val="1"/>
      <w:numFmt w:val="lowerLetter"/>
      <w:lvlText w:val="%8."/>
      <w:lvlJc w:val="left"/>
      <w:pPr>
        <w:ind w:left="5760" w:hanging="360"/>
      </w:pPr>
    </w:lvl>
    <w:lvl w:ilvl="8" w:tplc="7C147084" w:tentative="1">
      <w:start w:val="1"/>
      <w:numFmt w:val="lowerRoman"/>
      <w:lvlText w:val="%9."/>
      <w:lvlJc w:val="right"/>
      <w:pPr>
        <w:ind w:left="6480" w:hanging="180"/>
      </w:pPr>
    </w:lvl>
  </w:abstractNum>
  <w:abstractNum w:abstractNumId="1" w15:restartNumberingAfterBreak="0">
    <w:nsid w:val="21EE5F40"/>
    <w:multiLevelType w:val="hybridMultilevel"/>
    <w:tmpl w:val="BB2ADBFC"/>
    <w:lvl w:ilvl="0" w:tplc="FBCE9F64">
      <w:start w:val="1"/>
      <w:numFmt w:val="bullet"/>
      <w:lvlText w:val=""/>
      <w:lvlJc w:val="left"/>
      <w:pPr>
        <w:ind w:left="720" w:hanging="360"/>
      </w:pPr>
      <w:rPr>
        <w:rFonts w:ascii="Symbol" w:hAnsi="Symbol" w:hint="default"/>
      </w:rPr>
    </w:lvl>
    <w:lvl w:ilvl="1" w:tplc="5AE8F2DC" w:tentative="1">
      <w:start w:val="1"/>
      <w:numFmt w:val="bullet"/>
      <w:lvlText w:val="o"/>
      <w:lvlJc w:val="left"/>
      <w:pPr>
        <w:ind w:left="1440" w:hanging="360"/>
      </w:pPr>
      <w:rPr>
        <w:rFonts w:ascii="Courier New" w:hAnsi="Courier New" w:cs="Courier New" w:hint="default"/>
      </w:rPr>
    </w:lvl>
    <w:lvl w:ilvl="2" w:tplc="7D9C4C66" w:tentative="1">
      <w:start w:val="1"/>
      <w:numFmt w:val="bullet"/>
      <w:lvlText w:val=""/>
      <w:lvlJc w:val="left"/>
      <w:pPr>
        <w:ind w:left="2160" w:hanging="360"/>
      </w:pPr>
      <w:rPr>
        <w:rFonts w:ascii="Wingdings" w:hAnsi="Wingdings" w:hint="default"/>
      </w:rPr>
    </w:lvl>
    <w:lvl w:ilvl="3" w:tplc="56661A9A" w:tentative="1">
      <w:start w:val="1"/>
      <w:numFmt w:val="bullet"/>
      <w:lvlText w:val=""/>
      <w:lvlJc w:val="left"/>
      <w:pPr>
        <w:ind w:left="2880" w:hanging="360"/>
      </w:pPr>
      <w:rPr>
        <w:rFonts w:ascii="Symbol" w:hAnsi="Symbol" w:hint="default"/>
      </w:rPr>
    </w:lvl>
    <w:lvl w:ilvl="4" w:tplc="DBBEB2B6" w:tentative="1">
      <w:start w:val="1"/>
      <w:numFmt w:val="bullet"/>
      <w:lvlText w:val="o"/>
      <w:lvlJc w:val="left"/>
      <w:pPr>
        <w:ind w:left="3600" w:hanging="360"/>
      </w:pPr>
      <w:rPr>
        <w:rFonts w:ascii="Courier New" w:hAnsi="Courier New" w:cs="Courier New" w:hint="default"/>
      </w:rPr>
    </w:lvl>
    <w:lvl w:ilvl="5" w:tplc="99747966" w:tentative="1">
      <w:start w:val="1"/>
      <w:numFmt w:val="bullet"/>
      <w:lvlText w:val=""/>
      <w:lvlJc w:val="left"/>
      <w:pPr>
        <w:ind w:left="4320" w:hanging="360"/>
      </w:pPr>
      <w:rPr>
        <w:rFonts w:ascii="Wingdings" w:hAnsi="Wingdings" w:hint="default"/>
      </w:rPr>
    </w:lvl>
    <w:lvl w:ilvl="6" w:tplc="BE78894C" w:tentative="1">
      <w:start w:val="1"/>
      <w:numFmt w:val="bullet"/>
      <w:lvlText w:val=""/>
      <w:lvlJc w:val="left"/>
      <w:pPr>
        <w:ind w:left="5040" w:hanging="360"/>
      </w:pPr>
      <w:rPr>
        <w:rFonts w:ascii="Symbol" w:hAnsi="Symbol" w:hint="default"/>
      </w:rPr>
    </w:lvl>
    <w:lvl w:ilvl="7" w:tplc="C7047080" w:tentative="1">
      <w:start w:val="1"/>
      <w:numFmt w:val="bullet"/>
      <w:lvlText w:val="o"/>
      <w:lvlJc w:val="left"/>
      <w:pPr>
        <w:ind w:left="5760" w:hanging="360"/>
      </w:pPr>
      <w:rPr>
        <w:rFonts w:ascii="Courier New" w:hAnsi="Courier New" w:cs="Courier New" w:hint="default"/>
      </w:rPr>
    </w:lvl>
    <w:lvl w:ilvl="8" w:tplc="5ADE7822" w:tentative="1">
      <w:start w:val="1"/>
      <w:numFmt w:val="bullet"/>
      <w:lvlText w:val=""/>
      <w:lvlJc w:val="left"/>
      <w:pPr>
        <w:ind w:left="6480" w:hanging="360"/>
      </w:pPr>
      <w:rPr>
        <w:rFonts w:ascii="Wingdings" w:hAnsi="Wingdings" w:hint="default"/>
      </w:rPr>
    </w:lvl>
  </w:abstractNum>
  <w:abstractNum w:abstractNumId="2" w15:restartNumberingAfterBreak="0">
    <w:nsid w:val="309A3430"/>
    <w:multiLevelType w:val="hybridMultilevel"/>
    <w:tmpl w:val="3A068444"/>
    <w:lvl w:ilvl="0" w:tplc="310AD334">
      <w:start w:val="1"/>
      <w:numFmt w:val="decimal"/>
      <w:lvlText w:val="%1."/>
      <w:lvlJc w:val="left"/>
      <w:pPr>
        <w:ind w:left="720" w:hanging="360"/>
      </w:pPr>
      <w:rPr>
        <w:rFonts w:hint="default"/>
      </w:rPr>
    </w:lvl>
    <w:lvl w:ilvl="1" w:tplc="2952878C" w:tentative="1">
      <w:start w:val="1"/>
      <w:numFmt w:val="lowerLetter"/>
      <w:lvlText w:val="%2."/>
      <w:lvlJc w:val="left"/>
      <w:pPr>
        <w:ind w:left="1440" w:hanging="360"/>
      </w:pPr>
    </w:lvl>
    <w:lvl w:ilvl="2" w:tplc="7BC48A4A" w:tentative="1">
      <w:start w:val="1"/>
      <w:numFmt w:val="lowerRoman"/>
      <w:lvlText w:val="%3."/>
      <w:lvlJc w:val="right"/>
      <w:pPr>
        <w:ind w:left="2160" w:hanging="180"/>
      </w:pPr>
    </w:lvl>
    <w:lvl w:ilvl="3" w:tplc="A56EE9CA" w:tentative="1">
      <w:start w:val="1"/>
      <w:numFmt w:val="decimal"/>
      <w:lvlText w:val="%4."/>
      <w:lvlJc w:val="left"/>
      <w:pPr>
        <w:ind w:left="2880" w:hanging="360"/>
      </w:pPr>
    </w:lvl>
    <w:lvl w:ilvl="4" w:tplc="7B6C57F6" w:tentative="1">
      <w:start w:val="1"/>
      <w:numFmt w:val="lowerLetter"/>
      <w:lvlText w:val="%5."/>
      <w:lvlJc w:val="left"/>
      <w:pPr>
        <w:ind w:left="3600" w:hanging="360"/>
      </w:pPr>
    </w:lvl>
    <w:lvl w:ilvl="5" w:tplc="F20EA2D2" w:tentative="1">
      <w:start w:val="1"/>
      <w:numFmt w:val="lowerRoman"/>
      <w:lvlText w:val="%6."/>
      <w:lvlJc w:val="right"/>
      <w:pPr>
        <w:ind w:left="4320" w:hanging="180"/>
      </w:pPr>
    </w:lvl>
    <w:lvl w:ilvl="6" w:tplc="C3ECD1BA" w:tentative="1">
      <w:start w:val="1"/>
      <w:numFmt w:val="decimal"/>
      <w:lvlText w:val="%7."/>
      <w:lvlJc w:val="left"/>
      <w:pPr>
        <w:ind w:left="5040" w:hanging="360"/>
      </w:pPr>
    </w:lvl>
    <w:lvl w:ilvl="7" w:tplc="4C9EC99C" w:tentative="1">
      <w:start w:val="1"/>
      <w:numFmt w:val="lowerLetter"/>
      <w:lvlText w:val="%8."/>
      <w:lvlJc w:val="left"/>
      <w:pPr>
        <w:ind w:left="5760" w:hanging="360"/>
      </w:pPr>
    </w:lvl>
    <w:lvl w:ilvl="8" w:tplc="E0D02C8A" w:tentative="1">
      <w:start w:val="1"/>
      <w:numFmt w:val="lowerRoman"/>
      <w:lvlText w:val="%9."/>
      <w:lvlJc w:val="right"/>
      <w:pPr>
        <w:ind w:left="6480" w:hanging="180"/>
      </w:pPr>
    </w:lvl>
  </w:abstractNum>
  <w:abstractNum w:abstractNumId="3" w15:restartNumberingAfterBreak="0">
    <w:nsid w:val="34CC281A"/>
    <w:multiLevelType w:val="multilevel"/>
    <w:tmpl w:val="309AF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8E4582"/>
    <w:multiLevelType w:val="hybridMultilevel"/>
    <w:tmpl w:val="51E4146C"/>
    <w:lvl w:ilvl="0" w:tplc="F0A6A6B8">
      <w:start w:val="1"/>
      <w:numFmt w:val="decimal"/>
      <w:lvlText w:val="%1."/>
      <w:lvlJc w:val="left"/>
      <w:pPr>
        <w:ind w:left="720" w:hanging="360"/>
      </w:pPr>
      <w:rPr>
        <w:rFonts w:hint="default"/>
      </w:rPr>
    </w:lvl>
    <w:lvl w:ilvl="1" w:tplc="4DEEFAA4" w:tentative="1">
      <w:start w:val="1"/>
      <w:numFmt w:val="lowerLetter"/>
      <w:lvlText w:val="%2."/>
      <w:lvlJc w:val="left"/>
      <w:pPr>
        <w:ind w:left="1440" w:hanging="360"/>
      </w:pPr>
    </w:lvl>
    <w:lvl w:ilvl="2" w:tplc="0076ED22" w:tentative="1">
      <w:start w:val="1"/>
      <w:numFmt w:val="lowerRoman"/>
      <w:lvlText w:val="%3."/>
      <w:lvlJc w:val="right"/>
      <w:pPr>
        <w:ind w:left="2160" w:hanging="180"/>
      </w:pPr>
    </w:lvl>
    <w:lvl w:ilvl="3" w:tplc="F498EFC6" w:tentative="1">
      <w:start w:val="1"/>
      <w:numFmt w:val="decimal"/>
      <w:lvlText w:val="%4."/>
      <w:lvlJc w:val="left"/>
      <w:pPr>
        <w:ind w:left="2880" w:hanging="360"/>
      </w:pPr>
    </w:lvl>
    <w:lvl w:ilvl="4" w:tplc="FDBCC0F8" w:tentative="1">
      <w:start w:val="1"/>
      <w:numFmt w:val="lowerLetter"/>
      <w:lvlText w:val="%5."/>
      <w:lvlJc w:val="left"/>
      <w:pPr>
        <w:ind w:left="3600" w:hanging="360"/>
      </w:pPr>
    </w:lvl>
    <w:lvl w:ilvl="5" w:tplc="8836F0C2" w:tentative="1">
      <w:start w:val="1"/>
      <w:numFmt w:val="lowerRoman"/>
      <w:lvlText w:val="%6."/>
      <w:lvlJc w:val="right"/>
      <w:pPr>
        <w:ind w:left="4320" w:hanging="180"/>
      </w:pPr>
    </w:lvl>
    <w:lvl w:ilvl="6" w:tplc="090A0598" w:tentative="1">
      <w:start w:val="1"/>
      <w:numFmt w:val="decimal"/>
      <w:lvlText w:val="%7."/>
      <w:lvlJc w:val="left"/>
      <w:pPr>
        <w:ind w:left="5040" w:hanging="360"/>
      </w:pPr>
    </w:lvl>
    <w:lvl w:ilvl="7" w:tplc="E0AE34A6" w:tentative="1">
      <w:start w:val="1"/>
      <w:numFmt w:val="lowerLetter"/>
      <w:lvlText w:val="%8."/>
      <w:lvlJc w:val="left"/>
      <w:pPr>
        <w:ind w:left="5760" w:hanging="360"/>
      </w:pPr>
    </w:lvl>
    <w:lvl w:ilvl="8" w:tplc="350C7D8A" w:tentative="1">
      <w:start w:val="1"/>
      <w:numFmt w:val="lowerRoman"/>
      <w:lvlText w:val="%9."/>
      <w:lvlJc w:val="right"/>
      <w:pPr>
        <w:ind w:left="6480" w:hanging="180"/>
      </w:pPr>
    </w:lvl>
  </w:abstractNum>
  <w:abstractNum w:abstractNumId="5" w15:restartNumberingAfterBreak="0">
    <w:nsid w:val="70054610"/>
    <w:multiLevelType w:val="multilevel"/>
    <w:tmpl w:val="3764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6622643">
    <w:abstractNumId w:val="4"/>
  </w:num>
  <w:num w:numId="2" w16cid:durableId="273178694">
    <w:abstractNumId w:val="2"/>
  </w:num>
  <w:num w:numId="3" w16cid:durableId="476344334">
    <w:abstractNumId w:val="1"/>
  </w:num>
  <w:num w:numId="4" w16cid:durableId="1844276218">
    <w:abstractNumId w:val="0"/>
  </w:num>
  <w:num w:numId="5" w16cid:durableId="482039738">
    <w:abstractNumId w:val="5"/>
  </w:num>
  <w:num w:numId="6" w16cid:durableId="9742129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9"/>
    <w:rsid w:val="000C7624"/>
    <w:rsid w:val="0016293E"/>
    <w:rsid w:val="001E6156"/>
    <w:rsid w:val="00216613"/>
    <w:rsid w:val="002969C3"/>
    <w:rsid w:val="003B6BFB"/>
    <w:rsid w:val="004F5785"/>
    <w:rsid w:val="00503EF5"/>
    <w:rsid w:val="005C7FEB"/>
    <w:rsid w:val="006142E7"/>
    <w:rsid w:val="007934CA"/>
    <w:rsid w:val="00882A59"/>
    <w:rsid w:val="009B33B4"/>
    <w:rsid w:val="00AA10FE"/>
    <w:rsid w:val="00B82AAC"/>
    <w:rsid w:val="00B87172"/>
    <w:rsid w:val="00C6369F"/>
    <w:rsid w:val="00CB685C"/>
    <w:rsid w:val="00CD5F47"/>
    <w:rsid w:val="00CE1A86"/>
    <w:rsid w:val="00CF5073"/>
    <w:rsid w:val="00E0662A"/>
    <w:rsid w:val="00E17B46"/>
    <w:rsid w:val="00E74683"/>
    <w:rsid w:val="00EE0CD7"/>
    <w:rsid w:val="00F57C0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90FFC"/>
  <w15:chartTrackingRefBased/>
  <w15:docId w15:val="{7EDBFD59-2068-465E-AED0-881D926D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3EF5"/>
  </w:style>
  <w:style w:type="paragraph" w:styleId="berschrift1">
    <w:name w:val="heading 1"/>
    <w:basedOn w:val="Standard"/>
    <w:next w:val="Standard"/>
    <w:link w:val="berschrift1Zchn"/>
    <w:uiPriority w:val="9"/>
    <w:qFormat/>
    <w:rsid w:val="0088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A59"/>
    <w:rPr>
      <w:rFonts w:eastAsiaTheme="majorEastAsia" w:cstheme="majorBidi"/>
      <w:color w:val="272727" w:themeColor="text1" w:themeTint="D8"/>
    </w:rPr>
  </w:style>
  <w:style w:type="paragraph" w:styleId="Titel">
    <w:name w:val="Title"/>
    <w:basedOn w:val="Standard"/>
    <w:next w:val="Standard"/>
    <w:link w:val="TitelZchn"/>
    <w:uiPriority w:val="10"/>
    <w:qFormat/>
    <w:rsid w:val="0088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A59"/>
    <w:rPr>
      <w:i/>
      <w:iCs/>
      <w:color w:val="404040" w:themeColor="text1" w:themeTint="BF"/>
    </w:rPr>
  </w:style>
  <w:style w:type="paragraph" w:styleId="Listenabsatz">
    <w:name w:val="List Paragraph"/>
    <w:basedOn w:val="Standard"/>
    <w:uiPriority w:val="34"/>
    <w:qFormat/>
    <w:rsid w:val="00882A59"/>
    <w:pPr>
      <w:ind w:left="720"/>
      <w:contextualSpacing/>
    </w:pPr>
  </w:style>
  <w:style w:type="character" w:styleId="IntensiveHervorhebung">
    <w:name w:val="Intense Emphasis"/>
    <w:basedOn w:val="Absatz-Standardschriftart"/>
    <w:uiPriority w:val="21"/>
    <w:qFormat/>
    <w:rsid w:val="00882A59"/>
    <w:rPr>
      <w:i/>
      <w:iCs/>
      <w:color w:val="0F4761" w:themeColor="accent1" w:themeShade="BF"/>
    </w:rPr>
  </w:style>
  <w:style w:type="paragraph" w:styleId="IntensivesZitat">
    <w:name w:val="Intense Quote"/>
    <w:basedOn w:val="Standard"/>
    <w:next w:val="Standard"/>
    <w:link w:val="IntensivesZitatZchn"/>
    <w:uiPriority w:val="30"/>
    <w:qFormat/>
    <w:rsid w:val="0088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A59"/>
    <w:rPr>
      <w:i/>
      <w:iCs/>
      <w:color w:val="0F4761" w:themeColor="accent1" w:themeShade="BF"/>
    </w:rPr>
  </w:style>
  <w:style w:type="character" w:styleId="IntensiverVerweis">
    <w:name w:val="Intense Reference"/>
    <w:basedOn w:val="Absatz-Standardschriftart"/>
    <w:uiPriority w:val="32"/>
    <w:qFormat/>
    <w:rsid w:val="00882A59"/>
    <w:rPr>
      <w:b/>
      <w:bCs/>
      <w:smallCaps/>
      <w:color w:val="0F4761" w:themeColor="accent1" w:themeShade="BF"/>
      <w:spacing w:val="5"/>
    </w:rPr>
  </w:style>
  <w:style w:type="table" w:styleId="Tabellenraster">
    <w:name w:val="Table Grid"/>
    <w:basedOn w:val="NormaleTabelle"/>
    <w:uiPriority w:val="39"/>
    <w:rsid w:val="0061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eTabelle"/>
    <w:uiPriority w:val="39"/>
    <w:rsid w:val="00C63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1802</Words>
  <Characters>11354</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3</cp:revision>
  <dcterms:created xsi:type="dcterms:W3CDTF">2026-09-17T18:49:00Z</dcterms:created>
  <dcterms:modified xsi:type="dcterms:W3CDTF">2026-09-17T19:51:00Z</dcterms:modified>
</cp:coreProperties>
</file>